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BCA1E" w14:textId="2A2B2A66" w:rsidR="00216EF5" w:rsidRPr="00BA7FDC" w:rsidRDefault="00FD08BD" w:rsidP="0047485C">
      <w:pPr>
        <w:ind w:left="-900" w:right="-1260" w:hanging="180"/>
      </w:pPr>
      <w:r>
        <w:rPr>
          <w:noProof/>
        </w:rPr>
        <w:drawing>
          <wp:inline distT="0" distB="0" distL="0" distR="0" wp14:anchorId="2021C249" wp14:editId="4FAFE684">
            <wp:extent cx="7562850" cy="11576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62850" cy="1157605"/>
                    </a:xfrm>
                    <a:prstGeom prst="rect">
                      <a:avLst/>
                    </a:prstGeom>
                    <a:noFill/>
                    <a:ln>
                      <a:noFill/>
                    </a:ln>
                  </pic:spPr>
                </pic:pic>
              </a:graphicData>
            </a:graphic>
          </wp:inline>
        </w:drawing>
      </w:r>
    </w:p>
    <w:p w14:paraId="6EE5B856" w14:textId="77777777" w:rsidR="00216EF5" w:rsidRPr="00BA7FDC" w:rsidRDefault="00216EF5" w:rsidP="00216EF5"/>
    <w:p w14:paraId="7DDDBA78" w14:textId="77777777" w:rsidR="00DA4FB6" w:rsidRDefault="005D1CF9" w:rsidP="005A2F85">
      <w:pPr>
        <w:ind w:left="-720"/>
        <w:rPr>
          <w:b/>
          <w:sz w:val="36"/>
          <w:szCs w:val="36"/>
        </w:rPr>
      </w:pPr>
      <w:r w:rsidRPr="00DA4FB6">
        <w:rPr>
          <w:b/>
          <w:sz w:val="36"/>
          <w:szCs w:val="36"/>
        </w:rPr>
        <w:t>Family Policy Brief</w:t>
      </w:r>
    </w:p>
    <w:p w14:paraId="3E4777EB" w14:textId="77777777" w:rsidR="005A2F85" w:rsidRDefault="005A2F85" w:rsidP="005A2F85">
      <w:pPr>
        <w:ind w:left="-720"/>
        <w:rPr>
          <w:b/>
          <w:sz w:val="36"/>
          <w:szCs w:val="36"/>
        </w:rPr>
      </w:pPr>
    </w:p>
    <w:p w14:paraId="56D0429E" w14:textId="26BC92EB" w:rsidR="00C60936" w:rsidRPr="005A2F85" w:rsidRDefault="00BA16BB" w:rsidP="00BA16BB">
      <w:pPr>
        <w:jc w:val="center"/>
        <w:rPr>
          <w:b/>
          <w:sz w:val="48"/>
          <w:szCs w:val="48"/>
        </w:rPr>
      </w:pPr>
      <w:r w:rsidRPr="00BA16BB">
        <w:rPr>
          <w:b/>
          <w:sz w:val="48"/>
          <w:szCs w:val="48"/>
        </w:rPr>
        <w:t>Understanding Transgender Issues:</w:t>
      </w:r>
      <w:r>
        <w:rPr>
          <w:b/>
          <w:sz w:val="48"/>
          <w:szCs w:val="48"/>
        </w:rPr>
        <w:t xml:space="preserve"> </w:t>
      </w:r>
      <w:r w:rsidRPr="00BA16BB">
        <w:rPr>
          <w:b/>
          <w:sz w:val="48"/>
          <w:szCs w:val="48"/>
        </w:rPr>
        <w:t>An Analysis of Studies Used to Support Cross-Sex Identification</w:t>
      </w:r>
    </w:p>
    <w:p w14:paraId="0E9895D9" w14:textId="134E9D08" w:rsidR="00447BA7" w:rsidRDefault="00447BA7" w:rsidP="002F03C2">
      <w:pPr>
        <w:spacing w:line="320" w:lineRule="exact"/>
      </w:pPr>
    </w:p>
    <w:p w14:paraId="2986EC09" w14:textId="10D4D11F" w:rsidR="006713E6" w:rsidRDefault="007F5C89" w:rsidP="00F22838">
      <w:pPr>
        <w:spacing w:line="320" w:lineRule="exact"/>
      </w:pPr>
      <w:r>
        <w:t xml:space="preserve">In a recent brief filed with the U.S. Supreme Court, Dr. Paul McHugh, former chair of the Department of Psychiatry at Johns Hopkins University, describes the state of the evidence surrounding transgender issues: </w:t>
      </w:r>
      <w:r w:rsidR="001F418E">
        <w:t>“There is insufficient evidence to support treating gender dysphoric children as if they are the opposite sex.”</w:t>
      </w:r>
      <w:r w:rsidR="001F418E">
        <w:rPr>
          <w:rStyle w:val="EndnoteReference"/>
        </w:rPr>
        <w:endnoteReference w:id="2"/>
      </w:r>
      <w:r w:rsidR="001F418E">
        <w:t xml:space="preserve"> </w:t>
      </w:r>
      <w:r w:rsidR="003A11C4" w:rsidRPr="00B95DFA">
        <w:rPr>
          <w:highlight w:val="yellow"/>
        </w:rPr>
        <w:t xml:space="preserve">Similarly Kenneth Zucker, </w:t>
      </w:r>
      <w:r w:rsidR="00C3322A" w:rsidRPr="00B95DFA">
        <w:rPr>
          <w:highlight w:val="yellow"/>
        </w:rPr>
        <w:t>a psychiatrist at the University of Toronto</w:t>
      </w:r>
      <w:r w:rsidR="00B95DFA" w:rsidRPr="00B95DFA">
        <w:rPr>
          <w:highlight w:val="yellow"/>
        </w:rPr>
        <w:t xml:space="preserve"> and former director of its gender identity clinic</w:t>
      </w:r>
      <w:r w:rsidR="00F22838" w:rsidRPr="00B95DFA">
        <w:rPr>
          <w:highlight w:val="yellow"/>
        </w:rPr>
        <w:t>, points out: “There are no randomized controlled trials (RCT) of different treatment approaches, so the front-line clinician has to rely on lower-order levels of evidence in deciding on what the optimal approach to treatment might be.”</w:t>
      </w:r>
      <w:r w:rsidR="00DB2FBB" w:rsidRPr="00B95DFA">
        <w:rPr>
          <w:rStyle w:val="EndnoteReference"/>
          <w:highlight w:val="yellow"/>
        </w:rPr>
        <w:endnoteReference w:id="3"/>
      </w:r>
      <w:r w:rsidR="00F22838">
        <w:t xml:space="preserve"> </w:t>
      </w:r>
      <w:r w:rsidR="00F40A22">
        <w:t>This dearth of credible evidence has not prevented activists and the media from characterizing the research situation in a very different way. Each time a study is released that purports to show that individuals who feel discomfort with their biological sex would benefit from “transitioning” their appearance though hormones and surgery to appear as the opposite sex</w:t>
      </w:r>
      <w:r w:rsidR="000976C4">
        <w:t>, it is widely touted in the media</w:t>
      </w:r>
      <w:r w:rsidR="008356C3" w:rsidRPr="00DF64E9">
        <w:rPr>
          <w:highlight w:val="yellow"/>
        </w:rPr>
        <w:t xml:space="preserve">, even though numerous analysts have noted, </w:t>
      </w:r>
      <w:r w:rsidR="00C3243D" w:rsidRPr="00DF64E9">
        <w:rPr>
          <w:highlight w:val="yellow"/>
        </w:rPr>
        <w:t>“</w:t>
      </w:r>
      <w:r w:rsidR="00C3243D" w:rsidRPr="00DF64E9">
        <w:rPr>
          <w:highlight w:val="yellow"/>
        </w:rPr>
        <w:t>the evidence base supporting the efficacy of such treatment is extremely poor.</w:t>
      </w:r>
      <w:r w:rsidR="00C3243D" w:rsidRPr="00DF64E9">
        <w:rPr>
          <w:highlight w:val="yellow"/>
        </w:rPr>
        <w:t>”</w:t>
      </w:r>
      <w:r w:rsidR="007B0931" w:rsidRPr="00DF64E9">
        <w:rPr>
          <w:rStyle w:val="EndnoteReference"/>
          <w:highlight w:val="yellow"/>
        </w:rPr>
        <w:endnoteReference w:id="4"/>
      </w:r>
    </w:p>
    <w:p w14:paraId="07905DD6" w14:textId="486C8F0B" w:rsidR="00792511" w:rsidRDefault="00792511" w:rsidP="002F03C2">
      <w:pPr>
        <w:spacing w:line="320" w:lineRule="exact"/>
      </w:pPr>
    </w:p>
    <w:p w14:paraId="07B86A99" w14:textId="62B32F90" w:rsidR="00792511" w:rsidRDefault="00792511" w:rsidP="002F03C2">
      <w:pPr>
        <w:spacing w:line="320" w:lineRule="exact"/>
      </w:pPr>
      <w:r>
        <w:t xml:space="preserve">This brief will look at assessments </w:t>
      </w:r>
      <w:r w:rsidR="00FD01CD">
        <w:t xml:space="preserve">of the existing research </w:t>
      </w:r>
      <w:r>
        <w:t>from credible sources</w:t>
      </w:r>
      <w:r w:rsidR="0016307E">
        <w:t xml:space="preserve"> and </w:t>
      </w:r>
      <w:r w:rsidR="00DD419D">
        <w:t xml:space="preserve">illustrate </w:t>
      </w:r>
      <w:r w:rsidR="00ED634B">
        <w:t>problems with the research using examples of specific studies</w:t>
      </w:r>
      <w:r w:rsidR="00FD01CD">
        <w:t>.</w:t>
      </w:r>
    </w:p>
    <w:p w14:paraId="2A0B128B" w14:textId="77777777" w:rsidR="00F40A22" w:rsidRDefault="00F40A22" w:rsidP="002F03C2">
      <w:pPr>
        <w:spacing w:line="320" w:lineRule="exact"/>
      </w:pPr>
    </w:p>
    <w:p w14:paraId="04508D2B" w14:textId="77777777" w:rsidR="006713E6" w:rsidRPr="006713E6" w:rsidRDefault="006713E6" w:rsidP="002F03C2">
      <w:pPr>
        <w:spacing w:line="320" w:lineRule="exact"/>
        <w:rPr>
          <w:u w:val="single"/>
        </w:rPr>
      </w:pPr>
      <w:r w:rsidRPr="006713E6">
        <w:rPr>
          <w:u w:val="single"/>
        </w:rPr>
        <w:t>Hayes Inc.</w:t>
      </w:r>
    </w:p>
    <w:p w14:paraId="57844F1F" w14:textId="77777777" w:rsidR="006713E6" w:rsidRDefault="006713E6" w:rsidP="002F03C2">
      <w:pPr>
        <w:spacing w:line="320" w:lineRule="exact"/>
      </w:pPr>
    </w:p>
    <w:p w14:paraId="03CF5437" w14:textId="5899B6CD" w:rsidR="00F94BC8" w:rsidRDefault="007F5C89" w:rsidP="00417568">
      <w:pPr>
        <w:spacing w:line="320" w:lineRule="exact"/>
      </w:pPr>
      <w:r>
        <w:t xml:space="preserve">The amicus brief from </w:t>
      </w:r>
      <w:r w:rsidR="00D371AE">
        <w:t>D</w:t>
      </w:r>
      <w:r>
        <w:t>r. McHugh r</w:t>
      </w:r>
      <w:r w:rsidR="007B7972">
        <w:t xml:space="preserve">eferences accompany called </w:t>
      </w:r>
      <w:r w:rsidR="006013A6">
        <w:t xml:space="preserve">Hayes, Inc., </w:t>
      </w:r>
      <w:r w:rsidR="007B7972">
        <w:t xml:space="preserve">which </w:t>
      </w:r>
      <w:r w:rsidR="007449BA">
        <w:t xml:space="preserve">provides </w:t>
      </w:r>
      <w:r w:rsidR="00971E7E">
        <w:t>“</w:t>
      </w:r>
      <w:r w:rsidR="00971E7E" w:rsidRPr="00971E7E">
        <w:t>accessible, unbiased resource of evidence-based information on medical devices, drugs, treatments, and procedures.</w:t>
      </w:r>
      <w:r w:rsidR="00971E7E">
        <w:t>”</w:t>
      </w:r>
      <w:r w:rsidR="00D8474E">
        <w:rPr>
          <w:rStyle w:val="EndnoteReference"/>
        </w:rPr>
        <w:endnoteReference w:id="5"/>
      </w:r>
      <w:r w:rsidR="002D51E0">
        <w:t xml:space="preserve"> As Dr. McHugh notes, </w:t>
      </w:r>
      <w:r w:rsidR="008A729C">
        <w:t xml:space="preserve">Hayes, Inc. gave </w:t>
      </w:r>
      <w:r w:rsidR="007A7A1E">
        <w:t xml:space="preserve">“the quality of evidence for hormone treatment its lowest possible rating.” </w:t>
      </w:r>
      <w:r w:rsidR="00F94BC8">
        <w:t>Hayes review</w:t>
      </w:r>
      <w:r w:rsidR="00E4504B">
        <w:t>ed 21 studies before concluding, “</w:t>
      </w:r>
      <w:r w:rsidR="00F94BC8">
        <w:t xml:space="preserve">the studies </w:t>
      </w:r>
      <w:r w:rsidR="00E4504B">
        <w:t>‘</w:t>
      </w:r>
      <w:r w:rsidR="00F94BC8">
        <w:t>were inconsistent with respect to a relationship between hormone therapy and general psychological health, substance abuse, suicide attempts, and sexual function and satisfaction.</w:t>
      </w:r>
      <w:r w:rsidR="00E4504B">
        <w:t xml:space="preserve">’” And </w:t>
      </w:r>
      <w:r w:rsidR="00E4504B">
        <w:lastRenderedPageBreak/>
        <w:t xml:space="preserve">that </w:t>
      </w:r>
      <w:r w:rsidR="0015559F">
        <w:t>“[f]</w:t>
      </w:r>
      <w:r w:rsidR="00F94BC8">
        <w:t xml:space="preserve">or quality of life, </w:t>
      </w:r>
      <w:r w:rsidR="0015559F">
        <w:t>‘</w:t>
      </w:r>
      <w:r w:rsidR="00F94BC8">
        <w:t>[d]</w:t>
      </w:r>
      <w:proofErr w:type="spellStart"/>
      <w:r w:rsidR="00F94BC8">
        <w:t>ifferences</w:t>
      </w:r>
      <w:proofErr w:type="spellEnd"/>
      <w:r w:rsidR="00F94BC8">
        <w:t xml:space="preserve"> between treated and untreated study participants were very small or of unknown magnitude,</w:t>
      </w:r>
      <w:r w:rsidR="0015559F">
        <w:t>’</w:t>
      </w:r>
      <w:r w:rsidR="00F94BC8">
        <w:t xml:space="preserve"> suggesting little evidence of effectiveness.</w:t>
      </w:r>
      <w:r w:rsidR="0015559F">
        <w:t>”</w:t>
      </w:r>
      <w:r w:rsidR="003877FC">
        <w:rPr>
          <w:rStyle w:val="EndnoteReference"/>
        </w:rPr>
        <w:endnoteReference w:id="6"/>
      </w:r>
      <w:r w:rsidR="004C58C1">
        <w:t xml:space="preserve"> It came to the same conclusion in </w:t>
      </w:r>
      <w:r w:rsidR="00003077">
        <w:t>regard to studies about surgical intervention</w:t>
      </w:r>
      <w:r w:rsidR="00867D5F">
        <w:t xml:space="preserve"> (so called sex-change surgery)</w:t>
      </w:r>
      <w:r w:rsidR="009D6C02">
        <w:t xml:space="preserve">: </w:t>
      </w:r>
      <w:r w:rsidR="00A62BB4">
        <w:t>“</w:t>
      </w:r>
      <w:r w:rsidR="009D6C02">
        <w:t>‘</w:t>
      </w:r>
      <w:r w:rsidR="00A62BB4">
        <w:t>evidence was too sparse to allow any conclusion regarding the comparative benefits of different [sex reassignment surgery] procedures.</w:t>
      </w:r>
      <w:r w:rsidR="009D6C02">
        <w:t>’</w:t>
      </w:r>
      <w:r w:rsidR="00A62BB4">
        <w:t>”</w:t>
      </w:r>
      <w:r w:rsidR="00552CFE">
        <w:rPr>
          <w:rStyle w:val="EndnoteReference"/>
        </w:rPr>
        <w:endnoteReference w:id="7"/>
      </w:r>
      <w:r w:rsidR="0027310D">
        <w:t xml:space="preserve"> Finally, Hayes gave its lowest rating to the evidence of </w:t>
      </w:r>
      <w:r w:rsidR="002F6F39">
        <w:t xml:space="preserve">related surgical procedures (like cosmetic </w:t>
      </w:r>
      <w:r w:rsidR="009425C8">
        <w:t xml:space="preserve">surgery to change secondary sex characteristics). </w:t>
      </w:r>
      <w:r w:rsidR="0026564A">
        <w:t>“</w:t>
      </w:r>
      <w:r w:rsidR="00417568">
        <w:t xml:space="preserve">The studies not only had limitations such as small sample sizes, separating procedures by category, and </w:t>
      </w:r>
      <w:r w:rsidR="00D11EBF">
        <w:t xml:space="preserve"> </w:t>
      </w:r>
      <w:r w:rsidR="00417568">
        <w:t>a lack of control or comparator group, they also measured ‘technical</w:t>
      </w:r>
      <w:r w:rsidR="00B31DDB">
        <w:t xml:space="preserve"> </w:t>
      </w:r>
      <w:r w:rsidR="00417568">
        <w:t>success and patient satisfaction</w:t>
      </w:r>
      <w:r w:rsidR="00B31DDB">
        <w:t>’</w:t>
      </w:r>
      <w:r w:rsidR="00417568">
        <w:t xml:space="preserve"> while ignoring</w:t>
      </w:r>
      <w:r w:rsidR="00B31DDB">
        <w:t xml:space="preserve"> ‘</w:t>
      </w:r>
      <w:r w:rsidR="00417568">
        <w:t>overall measure of well-being.</w:t>
      </w:r>
      <w:r w:rsidR="00B31DDB">
        <w:t>’</w:t>
      </w:r>
      <w:r w:rsidR="0026564A">
        <w:t>”</w:t>
      </w:r>
      <w:r w:rsidR="007B18BA">
        <w:rPr>
          <w:rStyle w:val="EndnoteReference"/>
        </w:rPr>
        <w:endnoteReference w:id="8"/>
      </w:r>
      <w:r w:rsidR="00601B1F">
        <w:t xml:space="preserve"> </w:t>
      </w:r>
    </w:p>
    <w:p w14:paraId="09F11ECC" w14:textId="79B2D2E0" w:rsidR="000A67E1" w:rsidRDefault="000A67E1" w:rsidP="002F03C2">
      <w:pPr>
        <w:spacing w:line="320" w:lineRule="exact"/>
      </w:pPr>
    </w:p>
    <w:p w14:paraId="5C50D9A1" w14:textId="07B556CB" w:rsidR="006713E6" w:rsidRPr="006713E6" w:rsidRDefault="006713E6" w:rsidP="002F03C2">
      <w:pPr>
        <w:spacing w:line="320" w:lineRule="exact"/>
        <w:rPr>
          <w:u w:val="single"/>
        </w:rPr>
      </w:pPr>
      <w:r w:rsidRPr="006713E6">
        <w:rPr>
          <w:u w:val="single"/>
        </w:rPr>
        <w:t>Birmingham University's Aggressive Research Intelligence Facility</w:t>
      </w:r>
    </w:p>
    <w:p w14:paraId="52CF6A1C" w14:textId="77777777" w:rsidR="006713E6" w:rsidRDefault="006713E6" w:rsidP="002F03C2">
      <w:pPr>
        <w:spacing w:line="320" w:lineRule="exact"/>
      </w:pPr>
    </w:p>
    <w:p w14:paraId="2BF86AE4" w14:textId="4774FBB6" w:rsidR="008B2AEB" w:rsidRDefault="008B2AEB" w:rsidP="002F03C2">
      <w:pPr>
        <w:spacing w:line="320" w:lineRule="exact"/>
      </w:pPr>
      <w:r>
        <w:t xml:space="preserve">In </w:t>
      </w:r>
      <w:r w:rsidR="0079456B">
        <w:t>England</w:t>
      </w:r>
      <w:r>
        <w:t xml:space="preserve">, the </w:t>
      </w:r>
      <w:r w:rsidRPr="008B2AEB">
        <w:rPr>
          <w:i/>
          <w:iCs/>
        </w:rPr>
        <w:t>Guardian</w:t>
      </w:r>
      <w:r>
        <w:t xml:space="preserve"> newspaper</w:t>
      </w:r>
      <w:r w:rsidR="006217A4">
        <w:t xml:space="preserve"> commissioned </w:t>
      </w:r>
      <w:r w:rsidR="006217A4" w:rsidRPr="00BA4FE4">
        <w:t>Birmingham University's Aggressive Research Intelligence Facility</w:t>
      </w:r>
      <w:r w:rsidR="0079456B">
        <w:t xml:space="preserve"> (</w:t>
      </w:r>
      <w:proofErr w:type="spellStart"/>
      <w:r w:rsidR="0079456B">
        <w:t>A</w:t>
      </w:r>
      <w:r w:rsidR="00985CEF">
        <w:t>rif</w:t>
      </w:r>
      <w:proofErr w:type="spellEnd"/>
      <w:r w:rsidR="00985CEF">
        <w:t>)</w:t>
      </w:r>
      <w:r w:rsidR="0079456B">
        <w:t xml:space="preserve"> “</w:t>
      </w:r>
      <w:r w:rsidR="00985CEF" w:rsidRPr="00BA4FE4">
        <w:t>to assess the findings of more than 100 follow-up studies of post-operative transsexuals.</w:t>
      </w:r>
      <w:r w:rsidR="00985CEF">
        <w:t xml:space="preserve">” </w:t>
      </w:r>
      <w:proofErr w:type="spellStart"/>
      <w:r w:rsidR="00AA64FA">
        <w:t>Arif</w:t>
      </w:r>
      <w:proofErr w:type="spellEnd"/>
      <w:r w:rsidR="00AA64FA">
        <w:t xml:space="preserve"> </w:t>
      </w:r>
      <w:r w:rsidR="002C7149">
        <w:t xml:space="preserve">reviews healthcare treatments for the country’s National Health Service. </w:t>
      </w:r>
      <w:r w:rsidR="00BA107D">
        <w:t xml:space="preserve">The report of the findings </w:t>
      </w:r>
      <w:r w:rsidR="00557C04">
        <w:t xml:space="preserve">highlighted </w:t>
      </w:r>
      <w:r w:rsidR="00916452">
        <w:t>four</w:t>
      </w:r>
      <w:r w:rsidR="00557C04">
        <w:t xml:space="preserve"> conclusions</w:t>
      </w:r>
      <w:r w:rsidR="00333E05">
        <w:t xml:space="preserve"> from </w:t>
      </w:r>
      <w:proofErr w:type="spellStart"/>
      <w:r w:rsidR="00333E05">
        <w:t>Arif’s</w:t>
      </w:r>
      <w:proofErr w:type="spellEnd"/>
      <w:r w:rsidR="00333E05">
        <w:t xml:space="preserve"> research</w:t>
      </w:r>
      <w:r w:rsidR="00557C04">
        <w:t>:</w:t>
      </w:r>
    </w:p>
    <w:p w14:paraId="7072CFA6" w14:textId="77777777" w:rsidR="00E223AF" w:rsidRDefault="00E223AF" w:rsidP="00E223AF">
      <w:pPr>
        <w:spacing w:line="320" w:lineRule="exact"/>
        <w:ind w:right="720"/>
      </w:pPr>
    </w:p>
    <w:p w14:paraId="1ABC4A0A" w14:textId="77777777" w:rsidR="0083244D" w:rsidRDefault="0083244D" w:rsidP="00E223AF">
      <w:pPr>
        <w:pStyle w:val="ListParagraph"/>
        <w:numPr>
          <w:ilvl w:val="0"/>
          <w:numId w:val="46"/>
        </w:numPr>
        <w:spacing w:line="320" w:lineRule="exact"/>
        <w:ind w:right="720"/>
      </w:pPr>
      <w:r>
        <w:t>“t</w:t>
      </w:r>
      <w:r w:rsidR="00DF76E5" w:rsidRPr="00DF76E5">
        <w:t xml:space="preserve">hat most research was poorly designed, which skewed the results in </w:t>
      </w:r>
      <w:proofErr w:type="spellStart"/>
      <w:r w:rsidR="00DF76E5" w:rsidRPr="00DF76E5">
        <w:t>favour</w:t>
      </w:r>
      <w:proofErr w:type="spellEnd"/>
      <w:r w:rsidR="00DF76E5" w:rsidRPr="00DF76E5">
        <w:t xml:space="preserve"> of physically changing sex.</w:t>
      </w:r>
      <w:r>
        <w:t>”</w:t>
      </w:r>
    </w:p>
    <w:p w14:paraId="297EB1E9" w14:textId="77777777" w:rsidR="0083244D" w:rsidRDefault="0083244D" w:rsidP="00E223AF">
      <w:pPr>
        <w:pStyle w:val="ListParagraph"/>
        <w:numPr>
          <w:ilvl w:val="0"/>
          <w:numId w:val="46"/>
        </w:numPr>
        <w:spacing w:line="320" w:lineRule="exact"/>
        <w:ind w:right="720"/>
      </w:pPr>
      <w:r>
        <w:t>“</w:t>
      </w:r>
      <w:r w:rsidR="00DF76E5" w:rsidRPr="00DF76E5">
        <w:t>There was no evaluation of whether other treatments, such as long-term counselling, might help transsexuals, or whether their gender confusion might lessen over time.</w:t>
      </w:r>
      <w:r>
        <w:t>”</w:t>
      </w:r>
    </w:p>
    <w:p w14:paraId="2A5FFB52" w14:textId="77777777" w:rsidR="001B1BFC" w:rsidRDefault="0083244D" w:rsidP="00E223AF">
      <w:pPr>
        <w:pStyle w:val="ListParagraph"/>
        <w:numPr>
          <w:ilvl w:val="0"/>
          <w:numId w:val="46"/>
        </w:numPr>
        <w:spacing w:line="320" w:lineRule="exact"/>
        <w:ind w:right="720"/>
      </w:pPr>
      <w:r>
        <w:t>“</w:t>
      </w:r>
      <w:r w:rsidR="00DF76E5" w:rsidRPr="00DF76E5">
        <w:t>the findings of the few studies that have tracked significant numbers of patients over several years were flawed because the researchers lost track of at least half of the participants.</w:t>
      </w:r>
      <w:r w:rsidR="001B1BFC">
        <w:t>”</w:t>
      </w:r>
    </w:p>
    <w:p w14:paraId="3055AEEF" w14:textId="28DA88F6" w:rsidR="00DF76E5" w:rsidRDefault="001B1BFC" w:rsidP="00E223AF">
      <w:pPr>
        <w:pStyle w:val="ListParagraph"/>
        <w:numPr>
          <w:ilvl w:val="0"/>
          <w:numId w:val="46"/>
        </w:numPr>
        <w:spacing w:line="320" w:lineRule="exact"/>
        <w:ind w:right="720"/>
      </w:pPr>
      <w:r>
        <w:t>“</w:t>
      </w:r>
      <w:r w:rsidR="00DF76E5" w:rsidRPr="00DF76E5">
        <w:t>The potential complications of hormones and genital surgery, which include deep vein thrombosis and incontinence respectively, have not been thoroughly investigated.</w:t>
      </w:r>
      <w:r>
        <w:t>”</w:t>
      </w:r>
    </w:p>
    <w:p w14:paraId="03F5B358" w14:textId="387FC605" w:rsidR="00B737AB" w:rsidRDefault="00B737AB" w:rsidP="002F03C2">
      <w:pPr>
        <w:spacing w:line="320" w:lineRule="exact"/>
      </w:pPr>
    </w:p>
    <w:p w14:paraId="18DC8F61" w14:textId="03EB80ED" w:rsidR="00AC1489" w:rsidRDefault="00B65F26" w:rsidP="002F03C2">
      <w:pPr>
        <w:spacing w:line="320" w:lineRule="exact"/>
      </w:pPr>
      <w:r>
        <w:t xml:space="preserve">The director of </w:t>
      </w:r>
      <w:proofErr w:type="spellStart"/>
      <w:r>
        <w:t>Arif</w:t>
      </w:r>
      <w:proofErr w:type="spellEnd"/>
      <w:r>
        <w:t xml:space="preserve"> summarized: “</w:t>
      </w:r>
      <w:r w:rsidR="008702D5" w:rsidRPr="008702D5">
        <w:t>There is huge uncertainty over whether changing someone's sex is a good or a bad thing</w:t>
      </w:r>
      <w:r w:rsidR="00916452">
        <w:t>.</w:t>
      </w:r>
      <w:r>
        <w:t>”</w:t>
      </w:r>
      <w:r w:rsidR="00333E05">
        <w:rPr>
          <w:rStyle w:val="EndnoteReference"/>
        </w:rPr>
        <w:endnoteReference w:id="9"/>
      </w:r>
    </w:p>
    <w:p w14:paraId="7CBDB77F" w14:textId="45F68D11" w:rsidR="00DB1B10" w:rsidRDefault="00DB1B10" w:rsidP="002F03C2">
      <w:pPr>
        <w:spacing w:line="320" w:lineRule="exact"/>
      </w:pPr>
    </w:p>
    <w:p w14:paraId="1E8E9F04" w14:textId="34E26AF5" w:rsidR="00DB1B10" w:rsidRPr="004214E9" w:rsidRDefault="00DB1B10" w:rsidP="002F03C2">
      <w:pPr>
        <w:spacing w:line="320" w:lineRule="exact"/>
        <w:rPr>
          <w:u w:val="single"/>
        </w:rPr>
      </w:pPr>
      <w:proofErr w:type="spellStart"/>
      <w:r w:rsidRPr="004214E9">
        <w:rPr>
          <w:u w:val="single"/>
        </w:rPr>
        <w:t>Branstrom</w:t>
      </w:r>
      <w:proofErr w:type="spellEnd"/>
      <w:r w:rsidR="00C0317C" w:rsidRPr="004214E9">
        <w:rPr>
          <w:u w:val="single"/>
        </w:rPr>
        <w:t xml:space="preserve"> </w:t>
      </w:r>
      <w:r w:rsidR="00672EF9" w:rsidRPr="004214E9">
        <w:rPr>
          <w:u w:val="single"/>
        </w:rPr>
        <w:t>&amp;</w:t>
      </w:r>
      <w:r w:rsidR="00C0317C" w:rsidRPr="004214E9">
        <w:rPr>
          <w:u w:val="single"/>
        </w:rPr>
        <w:t xml:space="preserve"> </w:t>
      </w:r>
      <w:proofErr w:type="spellStart"/>
      <w:r w:rsidR="00C0317C" w:rsidRPr="004214E9">
        <w:rPr>
          <w:u w:val="single"/>
        </w:rPr>
        <w:t>Pachankis</w:t>
      </w:r>
      <w:proofErr w:type="spellEnd"/>
      <w:r w:rsidR="00C0317C" w:rsidRPr="004214E9">
        <w:rPr>
          <w:u w:val="single"/>
        </w:rPr>
        <w:t xml:space="preserve"> Study</w:t>
      </w:r>
    </w:p>
    <w:p w14:paraId="3A4020E2" w14:textId="493A55D8" w:rsidR="00C0317C" w:rsidRDefault="00C0317C" w:rsidP="002F03C2">
      <w:pPr>
        <w:spacing w:line="320" w:lineRule="exact"/>
      </w:pPr>
    </w:p>
    <w:p w14:paraId="5DFC0DD8" w14:textId="5BE56DA7" w:rsidR="00C0317C" w:rsidRDefault="00C0317C" w:rsidP="002F03C2">
      <w:pPr>
        <w:spacing w:line="320" w:lineRule="exact"/>
      </w:pPr>
      <w:r>
        <w:t xml:space="preserve">A 2019 study claimed that </w:t>
      </w:r>
      <w:r w:rsidR="001E4C4C">
        <w:t>“</w:t>
      </w:r>
      <w:r w:rsidR="001E4C4C" w:rsidRPr="001E4C4C">
        <w:t>the longitudinal association between gender-affirming surgery and reduced likelihood of mental health treatment lends support to the decision to provide gender-affirming surgeries to transgender individuals who seek them</w:t>
      </w:r>
      <w:r w:rsidR="001E4C4C">
        <w:t>.”</w:t>
      </w:r>
      <w:r w:rsidR="001E4C4C">
        <w:rPr>
          <w:rStyle w:val="EndnoteReference"/>
        </w:rPr>
        <w:endnoteReference w:id="10"/>
      </w:r>
      <w:r w:rsidR="003747D4">
        <w:t xml:space="preserve"> Specifically, the authors claimed that </w:t>
      </w:r>
      <w:r w:rsidR="009B468A">
        <w:t xml:space="preserve">the </w:t>
      </w:r>
      <w:r w:rsidR="00DA4510">
        <w:t>odds of being treated for a mood or anxiety disorder decreased each year after surgery.</w:t>
      </w:r>
      <w:r w:rsidR="004214E9">
        <w:t xml:space="preserve"> Here are some limitations of that study:</w:t>
      </w:r>
    </w:p>
    <w:p w14:paraId="0BAC75EA" w14:textId="7234481A" w:rsidR="004214E9" w:rsidRDefault="004214E9" w:rsidP="002F03C2">
      <w:pPr>
        <w:spacing w:line="320" w:lineRule="exact"/>
      </w:pPr>
    </w:p>
    <w:p w14:paraId="5ABF1331" w14:textId="29B75D48" w:rsidR="004214E9" w:rsidRDefault="00840479" w:rsidP="00C35494">
      <w:pPr>
        <w:pStyle w:val="ListParagraph"/>
        <w:numPr>
          <w:ilvl w:val="0"/>
          <w:numId w:val="48"/>
        </w:numPr>
        <w:spacing w:line="320" w:lineRule="exact"/>
      </w:pPr>
      <w:r>
        <w:t xml:space="preserve">Though the sample of the study is </w:t>
      </w:r>
      <w:r w:rsidR="00847DAE">
        <w:t xml:space="preserve">2,679, </w:t>
      </w:r>
      <w:r w:rsidR="00352502">
        <w:t>“</w:t>
      </w:r>
      <w:r w:rsidR="008121B0" w:rsidRPr="008121B0">
        <w:t>only 19 total respondents reported their last surgery as having been completed 10 or more years ago</w:t>
      </w:r>
      <w:r w:rsidR="00352502">
        <w:t>”</w:t>
      </w:r>
      <w:r w:rsidR="008121B0">
        <w:t xml:space="preserve"> while 574 had surgery within the last two </w:t>
      </w:r>
      <w:r w:rsidR="008121B0">
        <w:lastRenderedPageBreak/>
        <w:t>years</w:t>
      </w:r>
      <w:r w:rsidR="00844ACB">
        <w:t>.</w:t>
      </w:r>
      <w:r w:rsidR="005E2CBE">
        <w:rPr>
          <w:rStyle w:val="EndnoteReference"/>
        </w:rPr>
        <w:endnoteReference w:id="11"/>
      </w:r>
      <w:r w:rsidR="00844ACB">
        <w:t xml:space="preserve"> As Dr. Mark Regnerus noted in his review of the study</w:t>
      </w:r>
      <w:r w:rsidR="005E2CBE">
        <w:t>: “</w:t>
      </w:r>
      <w:r w:rsidR="005E2CBE" w:rsidRPr="005E2CBE">
        <w:t>The study’s trumpeted conclusion may hinge on as few as three people in a data collection effort reaching 9.7 million Swedes, 2,679 of whom were diagnosed with gender incongruence and just over 1,000 of whom had gender-affirming surgery.</w:t>
      </w:r>
      <w:r w:rsidR="005E2CBE">
        <w:t>”</w:t>
      </w:r>
      <w:r w:rsidR="005E2CBE">
        <w:rPr>
          <w:rStyle w:val="EndnoteReference"/>
        </w:rPr>
        <w:endnoteReference w:id="12"/>
      </w:r>
    </w:p>
    <w:p w14:paraId="7A825132" w14:textId="299BFAFF" w:rsidR="00431111" w:rsidRDefault="00431111" w:rsidP="00C35494">
      <w:pPr>
        <w:pStyle w:val="ListParagraph"/>
        <w:numPr>
          <w:ilvl w:val="0"/>
          <w:numId w:val="48"/>
        </w:numPr>
        <w:spacing w:line="320" w:lineRule="exact"/>
      </w:pPr>
      <w:r>
        <w:t xml:space="preserve">Dr. Regnerus describes another implication: </w:t>
      </w:r>
      <w:r w:rsidR="003507F2">
        <w:t>“</w:t>
      </w:r>
      <w:r w:rsidR="003507F2" w:rsidRPr="003507F2">
        <w:t>the beneficial effect of surgery is so small that a clinic may have to perform 49 gender-affirming surgeries before they could expect to prevent one additional person from seeking subsequent mental health assistance</w:t>
      </w:r>
      <w:r w:rsidR="003507F2">
        <w:t>.”</w:t>
      </w:r>
      <w:r w:rsidR="003507F2">
        <w:rPr>
          <w:rStyle w:val="EndnoteReference"/>
        </w:rPr>
        <w:endnoteReference w:id="13"/>
      </w:r>
    </w:p>
    <w:p w14:paraId="5FF8DC1B" w14:textId="46A838C6" w:rsidR="002566B0" w:rsidRDefault="002566B0" w:rsidP="002566B0">
      <w:pPr>
        <w:spacing w:line="320" w:lineRule="exact"/>
      </w:pPr>
    </w:p>
    <w:p w14:paraId="3E96D0BB" w14:textId="20AA91C7" w:rsidR="002566B0" w:rsidRDefault="002566B0" w:rsidP="002566B0">
      <w:pPr>
        <w:spacing w:line="320" w:lineRule="exact"/>
      </w:pPr>
      <w:proofErr w:type="gramStart"/>
      <w:r>
        <w:t>A number of</w:t>
      </w:r>
      <w:proofErr w:type="gramEnd"/>
      <w:r>
        <w:t xml:space="preserve"> analy</w:t>
      </w:r>
      <w:r w:rsidR="009D17F9">
        <w:t xml:space="preserve">ses </w:t>
      </w:r>
      <w:r w:rsidR="00C00C66">
        <w:t>raised additional concerns about the study:</w:t>
      </w:r>
    </w:p>
    <w:p w14:paraId="4AA7364A" w14:textId="1F494199" w:rsidR="00D204F7" w:rsidRDefault="00D46A38" w:rsidP="00D43399">
      <w:pPr>
        <w:pStyle w:val="ListParagraph"/>
        <w:numPr>
          <w:ilvl w:val="0"/>
          <w:numId w:val="49"/>
        </w:numPr>
        <w:spacing w:line="320" w:lineRule="exact"/>
      </w:pPr>
      <w:r>
        <w:t>The measures the author used</w:t>
      </w:r>
      <w:r w:rsidR="008843EB">
        <w:t xml:space="preserve"> “</w:t>
      </w:r>
      <w:r w:rsidR="001A7397">
        <w:t>excludes completed suicides, suicide attempts without subsequent hospitalization, health care visits and hospitalizations for other medical or psychological issues still related to gender-affirming surgeries, individuals refusing treatment, and individuals choosing self-medication with alcohol or illicit substances.</w:t>
      </w:r>
      <w:r w:rsidR="008843EB">
        <w:t>”</w:t>
      </w:r>
      <w:r w:rsidR="008D6B3F">
        <w:rPr>
          <w:rStyle w:val="EndnoteReference"/>
        </w:rPr>
        <w:endnoteReference w:id="14"/>
      </w:r>
    </w:p>
    <w:p w14:paraId="50EECE00" w14:textId="56C5B0C6" w:rsidR="00C00C66" w:rsidRDefault="00ED0A68" w:rsidP="00D43399">
      <w:pPr>
        <w:pStyle w:val="ListParagraph"/>
        <w:numPr>
          <w:ilvl w:val="0"/>
          <w:numId w:val="49"/>
        </w:numPr>
        <w:spacing w:line="320" w:lineRule="exact"/>
      </w:pPr>
      <w:r>
        <w:t>The study actually shows “a spike in suicide attempts is seen in the year after surgery (in 2.8% of the patients), which falls off over the next 1–2 years, and to a lesser extent, there is also a spike in the proportion of patients receiving mental health treatment in the first year, going up to 45.3%</w:t>
      </w:r>
      <w:r w:rsidR="00460805">
        <w:t>.</w:t>
      </w:r>
      <w:r>
        <w:t>”</w:t>
      </w:r>
      <w:r w:rsidR="001829B6">
        <w:rPr>
          <w:rStyle w:val="EndnoteReference"/>
        </w:rPr>
        <w:endnoteReference w:id="15"/>
      </w:r>
    </w:p>
    <w:p w14:paraId="5BE7EED3" w14:textId="63943C8F" w:rsidR="00460805" w:rsidRDefault="009234BE" w:rsidP="00D43399">
      <w:pPr>
        <w:pStyle w:val="ListParagraph"/>
        <w:numPr>
          <w:ilvl w:val="0"/>
          <w:numId w:val="49"/>
        </w:numPr>
        <w:spacing w:line="320" w:lineRule="exact"/>
      </w:pPr>
      <w:r>
        <w:t xml:space="preserve">“Loss to follow-up, death from suicide of the most psychologically distressed individuals, or death from cardiovascular disease, all known to be increased in the transgender population, could have falsely skewed the </w:t>
      </w:r>
      <w:r w:rsidR="00A443AA">
        <w:t>≥</w:t>
      </w:r>
      <w:r>
        <w:t>10-year data.”</w:t>
      </w:r>
      <w:r w:rsidR="00A443AA">
        <w:rPr>
          <w:rStyle w:val="EndnoteReference"/>
        </w:rPr>
        <w:endnoteReference w:id="16"/>
      </w:r>
    </w:p>
    <w:p w14:paraId="48E4277F" w14:textId="6D992C69" w:rsidR="00F32D16" w:rsidRDefault="00F32D16" w:rsidP="00D43399">
      <w:pPr>
        <w:pStyle w:val="ListParagraph"/>
        <w:numPr>
          <w:ilvl w:val="0"/>
          <w:numId w:val="49"/>
        </w:numPr>
        <w:spacing w:line="320" w:lineRule="exact"/>
      </w:pPr>
      <w:r>
        <w:t xml:space="preserve">A Swedish doctor noted that the data actually showed </w:t>
      </w:r>
      <w:r w:rsidR="00F03D34">
        <w:t xml:space="preserve">that </w:t>
      </w:r>
      <w:r>
        <w:t>“among the individuals examined in the study, the risk of being hospitalized for a suicide attempt was 2.4 times higher if they had undergone gender-corrective surgery than if</w:t>
      </w:r>
      <w:r w:rsidR="00F03D34">
        <w:t xml:space="preserve"> </w:t>
      </w:r>
      <w:r>
        <w:t>they had not.”</w:t>
      </w:r>
      <w:r w:rsidR="00F03D34">
        <w:rPr>
          <w:rStyle w:val="EndnoteReference"/>
        </w:rPr>
        <w:endnoteReference w:id="17"/>
      </w:r>
    </w:p>
    <w:p w14:paraId="7ABD5819" w14:textId="4CE9A407" w:rsidR="00F00B71" w:rsidRDefault="00F00B71" w:rsidP="002F03C2">
      <w:pPr>
        <w:spacing w:line="320" w:lineRule="exact"/>
      </w:pPr>
    </w:p>
    <w:p w14:paraId="54D4B69E" w14:textId="4E4BD0D9" w:rsidR="00847DAE" w:rsidRDefault="00D204F7" w:rsidP="00F00B71">
      <w:pPr>
        <w:spacing w:line="320" w:lineRule="exact"/>
      </w:pPr>
      <w:r>
        <w:t>After</w:t>
      </w:r>
      <w:r w:rsidR="00C35494">
        <w:t xml:space="preserve"> the authors r</w:t>
      </w:r>
      <w:r w:rsidR="00402D2F">
        <w:t xml:space="preserve">eceived </w:t>
      </w:r>
      <w:r>
        <w:t xml:space="preserve">these </w:t>
      </w:r>
      <w:r w:rsidR="00402D2F">
        <w:t>questions about their data</w:t>
      </w:r>
      <w:r w:rsidR="001A6612">
        <w:t xml:space="preserve">, </w:t>
      </w:r>
      <w:r>
        <w:t xml:space="preserve">they </w:t>
      </w:r>
      <w:r w:rsidR="00402D2F">
        <w:t>performed a new analysis and concluded:</w:t>
      </w:r>
      <w:r w:rsidR="00F00B71">
        <w:t xml:space="preserve"> “the results demonstrated no advantage of surgery in relation to subsequent mood or </w:t>
      </w:r>
      <w:r w:rsidR="00402D2F">
        <w:t>a</w:t>
      </w:r>
      <w:r w:rsidR="00F00B71">
        <w:t xml:space="preserve">nxiety disorder-related health care visits or prescriptions or hospitalizations following suicide </w:t>
      </w:r>
      <w:r w:rsidR="00402D2F">
        <w:t>a</w:t>
      </w:r>
      <w:r w:rsidR="00F00B71">
        <w:t>ttempts in that comparison.”</w:t>
      </w:r>
      <w:r w:rsidR="00503701">
        <w:rPr>
          <w:rStyle w:val="EndnoteReference"/>
        </w:rPr>
        <w:endnoteReference w:id="18"/>
      </w:r>
      <w:r w:rsidR="00DF5A01">
        <w:t xml:space="preserve"> This is particularly significant since this is the largest sample ever </w:t>
      </w:r>
      <w:r w:rsidR="002A4A4C">
        <w:t>in the research.</w:t>
      </w:r>
    </w:p>
    <w:p w14:paraId="27C11EE6" w14:textId="77777777" w:rsidR="00F40A22" w:rsidRDefault="00F40A22" w:rsidP="002F03C2">
      <w:pPr>
        <w:spacing w:line="320" w:lineRule="exact"/>
        <w:rPr>
          <w:u w:val="single"/>
        </w:rPr>
      </w:pPr>
    </w:p>
    <w:p w14:paraId="33AEEC5B" w14:textId="739EA231" w:rsidR="00D67756" w:rsidRPr="00D67756" w:rsidRDefault="00D67756" w:rsidP="002F03C2">
      <w:pPr>
        <w:spacing w:line="320" w:lineRule="exact"/>
        <w:rPr>
          <w:u w:val="single"/>
        </w:rPr>
      </w:pPr>
      <w:r w:rsidRPr="00D67756">
        <w:rPr>
          <w:u w:val="single"/>
        </w:rPr>
        <w:t>Turban Study</w:t>
      </w:r>
    </w:p>
    <w:p w14:paraId="2D7C303B" w14:textId="77777777" w:rsidR="00D67756" w:rsidRDefault="00D67756" w:rsidP="002F03C2">
      <w:pPr>
        <w:spacing w:line="320" w:lineRule="exact"/>
      </w:pPr>
    </w:p>
    <w:p w14:paraId="6AE6B8FF" w14:textId="08F3FD26" w:rsidR="00E806CF" w:rsidRDefault="005555AD" w:rsidP="00E806CF">
      <w:pPr>
        <w:jc w:val="both"/>
        <w:rPr>
          <w:rFonts w:cstheme="minorHAnsi"/>
        </w:rPr>
      </w:pPr>
      <w:r>
        <w:rPr>
          <w:rFonts w:cstheme="minorHAnsi"/>
        </w:rPr>
        <w:t xml:space="preserve">One </w:t>
      </w:r>
      <w:r w:rsidR="0061653A">
        <w:rPr>
          <w:rFonts w:cstheme="minorHAnsi"/>
        </w:rPr>
        <w:t>study</w:t>
      </w:r>
      <w:r w:rsidR="00E806CF" w:rsidRPr="00945023">
        <w:rPr>
          <w:rFonts w:cstheme="minorHAnsi"/>
        </w:rPr>
        <w:t xml:space="preserve"> claim</w:t>
      </w:r>
      <w:r w:rsidR="0061653A">
        <w:rPr>
          <w:rFonts w:cstheme="minorHAnsi"/>
        </w:rPr>
        <w:t>ed</w:t>
      </w:r>
      <w:r w:rsidR="00E806CF" w:rsidRPr="00945023">
        <w:rPr>
          <w:rFonts w:cstheme="minorHAnsi"/>
        </w:rPr>
        <w:t xml:space="preserve"> that suicide risk could be lowered by giving puberty suppression </w:t>
      </w:r>
      <w:r w:rsidR="0088359D">
        <w:rPr>
          <w:rFonts w:cstheme="minorHAnsi"/>
        </w:rPr>
        <w:t>hormones</w:t>
      </w:r>
      <w:r w:rsidR="00E806CF" w:rsidRPr="00945023">
        <w:rPr>
          <w:rFonts w:cstheme="minorHAnsi"/>
        </w:rPr>
        <w:t xml:space="preserve"> to youth who want them.</w:t>
      </w:r>
      <w:r w:rsidR="00E806CF" w:rsidRPr="00945023">
        <w:rPr>
          <w:rStyle w:val="EndnoteReference"/>
          <w:rFonts w:cstheme="minorHAnsi"/>
        </w:rPr>
        <w:endnoteReference w:id="19"/>
      </w:r>
      <w:r w:rsidR="00E806CF" w:rsidRPr="00945023">
        <w:rPr>
          <w:rFonts w:cstheme="minorHAnsi"/>
        </w:rPr>
        <w:t xml:space="preserve"> Here are some obvious problems with the study:</w:t>
      </w:r>
    </w:p>
    <w:p w14:paraId="462137F6" w14:textId="77777777" w:rsidR="004F304F" w:rsidRDefault="004F304F" w:rsidP="00E806CF">
      <w:pPr>
        <w:jc w:val="both"/>
        <w:rPr>
          <w:rFonts w:cstheme="minorHAnsi"/>
        </w:rPr>
      </w:pPr>
    </w:p>
    <w:p w14:paraId="3053FC1C" w14:textId="77777777" w:rsidR="00E806CF" w:rsidRPr="00863ACA" w:rsidRDefault="00E806CF" w:rsidP="00863ACA">
      <w:pPr>
        <w:pStyle w:val="ListParagraph"/>
        <w:numPr>
          <w:ilvl w:val="0"/>
          <w:numId w:val="44"/>
        </w:numPr>
        <w:contextualSpacing/>
        <w:jc w:val="both"/>
        <w:rPr>
          <w:rFonts w:cstheme="minorHAnsi"/>
        </w:rPr>
      </w:pPr>
      <w:r w:rsidRPr="00863ACA">
        <w:rPr>
          <w:rFonts w:cstheme="minorHAnsi"/>
        </w:rPr>
        <w:t xml:space="preserve">20,619 young adults were studied but only 16.9% percent expressed a desire to receive puberty blockers, and of these only 2.5% (89 people) </w:t>
      </w:r>
      <w:proofErr w:type="gramStart"/>
      <w:r w:rsidRPr="00863ACA">
        <w:rPr>
          <w:rFonts w:cstheme="minorHAnsi"/>
        </w:rPr>
        <w:t>actually received</w:t>
      </w:r>
      <w:proofErr w:type="gramEnd"/>
      <w:r w:rsidRPr="00863ACA">
        <w:rPr>
          <w:rFonts w:cstheme="minorHAnsi"/>
        </w:rPr>
        <w:t xml:space="preserve"> the drugs so the actual sample was much smaller.</w:t>
      </w:r>
    </w:p>
    <w:p w14:paraId="20FB8030" w14:textId="77777777" w:rsidR="00E806CF" w:rsidRPr="00863ACA" w:rsidRDefault="00E806CF" w:rsidP="00863ACA">
      <w:pPr>
        <w:pStyle w:val="ListParagraph"/>
        <w:numPr>
          <w:ilvl w:val="0"/>
          <w:numId w:val="44"/>
        </w:numPr>
        <w:contextualSpacing/>
        <w:jc w:val="both"/>
        <w:rPr>
          <w:rFonts w:cstheme="minorHAnsi"/>
        </w:rPr>
      </w:pPr>
      <w:r w:rsidRPr="00863ACA">
        <w:rPr>
          <w:rFonts w:cstheme="minorHAnsi"/>
        </w:rPr>
        <w:t>The only outcomes measured were the subjective experiences of the people being interviewed.</w:t>
      </w:r>
    </w:p>
    <w:p w14:paraId="6B7165E3" w14:textId="77777777" w:rsidR="00E806CF" w:rsidRPr="00863ACA" w:rsidRDefault="00E806CF" w:rsidP="00863ACA">
      <w:pPr>
        <w:pStyle w:val="ListParagraph"/>
        <w:numPr>
          <w:ilvl w:val="0"/>
          <w:numId w:val="44"/>
        </w:numPr>
        <w:contextualSpacing/>
        <w:jc w:val="both"/>
        <w:rPr>
          <w:rFonts w:cstheme="minorHAnsi"/>
        </w:rPr>
      </w:pPr>
      <w:r w:rsidRPr="00863ACA">
        <w:rPr>
          <w:rFonts w:cstheme="minorHAnsi"/>
        </w:rPr>
        <w:t xml:space="preserve">Since the study relies on surveys, any individuals who </w:t>
      </w:r>
      <w:proofErr w:type="gramStart"/>
      <w:r w:rsidRPr="00863ACA">
        <w:rPr>
          <w:rFonts w:cstheme="minorHAnsi"/>
        </w:rPr>
        <w:t>actually committed</w:t>
      </w:r>
      <w:proofErr w:type="gramEnd"/>
      <w:r w:rsidRPr="00863ACA">
        <w:rPr>
          <w:rFonts w:cstheme="minorHAnsi"/>
        </w:rPr>
        <w:t xml:space="preserve"> suicide would not be included.</w:t>
      </w:r>
    </w:p>
    <w:p w14:paraId="785E94FF" w14:textId="77777777" w:rsidR="00E806CF" w:rsidRPr="00863ACA" w:rsidRDefault="00E806CF" w:rsidP="00863ACA">
      <w:pPr>
        <w:pStyle w:val="ListParagraph"/>
        <w:numPr>
          <w:ilvl w:val="0"/>
          <w:numId w:val="44"/>
        </w:numPr>
        <w:contextualSpacing/>
        <w:jc w:val="both"/>
        <w:rPr>
          <w:rFonts w:cstheme="minorHAnsi"/>
        </w:rPr>
      </w:pPr>
      <w:r w:rsidRPr="00863ACA">
        <w:rPr>
          <w:rFonts w:cstheme="minorHAnsi"/>
        </w:rPr>
        <w:lastRenderedPageBreak/>
        <w:t>The authors focus on “suicidal ideation” and report it being lower for those who received puberty blockers but these youth too had significantly higher than average rates of suicidal thoughts (75%) and attempts (42%).</w:t>
      </w:r>
      <w:r w:rsidRPr="00945023">
        <w:rPr>
          <w:rStyle w:val="EndnoteReference"/>
          <w:rFonts w:cstheme="minorHAnsi"/>
        </w:rPr>
        <w:endnoteReference w:id="20"/>
      </w:r>
    </w:p>
    <w:p w14:paraId="5F86EB41" w14:textId="77777777" w:rsidR="00E806CF" w:rsidRPr="00863ACA" w:rsidRDefault="00E806CF" w:rsidP="00863ACA">
      <w:pPr>
        <w:pStyle w:val="ListParagraph"/>
        <w:numPr>
          <w:ilvl w:val="0"/>
          <w:numId w:val="44"/>
        </w:numPr>
        <w:contextualSpacing/>
        <w:jc w:val="both"/>
        <w:rPr>
          <w:rFonts w:cstheme="minorHAnsi"/>
        </w:rPr>
      </w:pPr>
      <w:r w:rsidRPr="00863ACA">
        <w:rPr>
          <w:rFonts w:cstheme="minorHAnsi"/>
        </w:rPr>
        <w:t>The group that received puberty suppression “actually had double (45.5% versus 22.8%) the rates of the control group for serious (resulting in inpatient care) suicide attempts in the year preceding the data collection.”</w:t>
      </w:r>
      <w:r w:rsidRPr="00945023">
        <w:rPr>
          <w:rStyle w:val="EndnoteReference"/>
          <w:rFonts w:cstheme="minorHAnsi"/>
        </w:rPr>
        <w:endnoteReference w:id="21"/>
      </w:r>
    </w:p>
    <w:p w14:paraId="3E36114C" w14:textId="77777777" w:rsidR="00E806CF" w:rsidRPr="00863ACA" w:rsidRDefault="00E806CF" w:rsidP="00863ACA">
      <w:pPr>
        <w:pStyle w:val="ListParagraph"/>
        <w:numPr>
          <w:ilvl w:val="0"/>
          <w:numId w:val="44"/>
        </w:numPr>
        <w:contextualSpacing/>
        <w:jc w:val="both"/>
        <w:rPr>
          <w:rFonts w:cstheme="minorHAnsi"/>
        </w:rPr>
      </w:pPr>
      <w:r w:rsidRPr="00863ACA">
        <w:rPr>
          <w:rFonts w:cstheme="minorHAnsi"/>
        </w:rPr>
        <w:t>The age range of participants was 18-36 and the mean age of receiving puberty blockers was 15.7 so the study was examining a relatively short experience, far less than a lifetime.</w:t>
      </w:r>
      <w:r w:rsidRPr="00945023">
        <w:rPr>
          <w:rStyle w:val="EndnoteReference"/>
          <w:rFonts w:cstheme="minorHAnsi"/>
        </w:rPr>
        <w:endnoteReference w:id="22"/>
      </w:r>
    </w:p>
    <w:p w14:paraId="0ECE5B2B" w14:textId="77777777" w:rsidR="00863ACA" w:rsidRDefault="00863ACA" w:rsidP="00E806CF">
      <w:pPr>
        <w:spacing w:line="320" w:lineRule="exact"/>
        <w:rPr>
          <w:rFonts w:cstheme="minorHAnsi"/>
        </w:rPr>
      </w:pPr>
    </w:p>
    <w:p w14:paraId="4BE84ADE" w14:textId="30587F19" w:rsidR="00DF369F" w:rsidRPr="00945023" w:rsidRDefault="00E806CF" w:rsidP="00E806CF">
      <w:pPr>
        <w:spacing w:line="320" w:lineRule="exact"/>
        <w:rPr>
          <w:rFonts w:cstheme="minorHAnsi"/>
        </w:rPr>
      </w:pPr>
      <w:proofErr w:type="spellStart"/>
      <w:r w:rsidRPr="00945023">
        <w:rPr>
          <w:rFonts w:cstheme="minorHAnsi"/>
        </w:rPr>
        <w:t>Avi</w:t>
      </w:r>
      <w:proofErr w:type="spellEnd"/>
      <w:r w:rsidRPr="00945023">
        <w:rPr>
          <w:rFonts w:cstheme="minorHAnsi"/>
        </w:rPr>
        <w:t xml:space="preserve"> Ring, A Norwegian neuroscience professor, </w:t>
      </w:r>
      <w:r w:rsidR="00FB36D6">
        <w:rPr>
          <w:rFonts w:cstheme="minorHAnsi"/>
        </w:rPr>
        <w:t>examined th</w:t>
      </w:r>
      <w:r w:rsidR="00A63159">
        <w:rPr>
          <w:rFonts w:cstheme="minorHAnsi"/>
        </w:rPr>
        <w:t>is</w:t>
      </w:r>
      <w:r w:rsidR="00FB36D6">
        <w:rPr>
          <w:rFonts w:cstheme="minorHAnsi"/>
        </w:rPr>
        <w:t xml:space="preserve"> study and </w:t>
      </w:r>
      <w:r w:rsidRPr="00945023">
        <w:rPr>
          <w:rFonts w:cstheme="minorHAnsi"/>
        </w:rPr>
        <w:t xml:space="preserve">pointed out: “Of 1000 children with GD [gender dysphoria], if all receive puberty suppression then we expect all 1000 to go on to full transition whereas without the pubertal inhibition only 150 (15% of 1000) will transition. As the authors correctly state in the paper, 40% of </w:t>
      </w:r>
      <w:proofErr w:type="spellStart"/>
      <w:r w:rsidRPr="00945023">
        <w:rPr>
          <w:rFonts w:cstheme="minorHAnsi"/>
        </w:rPr>
        <w:t>transpersons</w:t>
      </w:r>
      <w:proofErr w:type="spellEnd"/>
      <w:r w:rsidRPr="00945023">
        <w:rPr>
          <w:rFonts w:cstheme="minorHAnsi"/>
        </w:rPr>
        <w:t xml:space="preserve"> attempt suicide in a lifetime, which means that with PB [puberty blocker] administration to all, we expect 40% of 1000 = 400 persons to attempt suicide. The authors show, however, that because of the benefits of PB, this may perhaps be adjusted downward by a factor of 0.6; the expected outcome is then 240 attempted suicides. In contrast, if none of the 1000 subjects receive puberty suppression then only 60 persons (40% of 150) are expected to attempt suicide.”</w:t>
      </w:r>
      <w:r w:rsidRPr="00945023">
        <w:rPr>
          <w:rStyle w:val="EndnoteReference"/>
          <w:rFonts w:cstheme="minorHAnsi"/>
        </w:rPr>
        <w:endnoteReference w:id="23"/>
      </w:r>
    </w:p>
    <w:p w14:paraId="1788B59C" w14:textId="77777777" w:rsidR="005E1306" w:rsidRDefault="005E1306" w:rsidP="00E806CF">
      <w:pPr>
        <w:spacing w:line="320" w:lineRule="exact"/>
        <w:rPr>
          <w:rFonts w:cstheme="minorHAnsi"/>
        </w:rPr>
      </w:pPr>
    </w:p>
    <w:p w14:paraId="1276E597" w14:textId="77777777" w:rsidR="00586C6F" w:rsidRDefault="00FD6251" w:rsidP="00853F51">
      <w:pPr>
        <w:spacing w:line="320" w:lineRule="exact"/>
        <w:rPr>
          <w:rFonts w:cstheme="minorHAnsi"/>
        </w:rPr>
      </w:pPr>
      <w:r>
        <w:rPr>
          <w:rFonts w:cstheme="minorHAnsi"/>
        </w:rPr>
        <w:t xml:space="preserve">Michael Biggs, a sociology professor at </w:t>
      </w:r>
      <w:r w:rsidR="00B35356">
        <w:rPr>
          <w:rFonts w:cstheme="minorHAnsi"/>
        </w:rPr>
        <w:t xml:space="preserve">the University of Oxford, </w:t>
      </w:r>
      <w:r w:rsidR="002F2E37">
        <w:rPr>
          <w:rFonts w:cstheme="minorHAnsi"/>
        </w:rPr>
        <w:t xml:space="preserve">also </w:t>
      </w:r>
      <w:r w:rsidR="005708A2">
        <w:rPr>
          <w:rFonts w:cstheme="minorHAnsi"/>
        </w:rPr>
        <w:t>reviewed the study.</w:t>
      </w:r>
      <w:r w:rsidR="00B350C3">
        <w:rPr>
          <w:rStyle w:val="EndnoteReference"/>
          <w:rFonts w:cstheme="minorHAnsi"/>
        </w:rPr>
        <w:endnoteReference w:id="24"/>
      </w:r>
      <w:r w:rsidR="005708A2">
        <w:rPr>
          <w:rFonts w:cstheme="minorHAnsi"/>
        </w:rPr>
        <w:t xml:space="preserve"> </w:t>
      </w:r>
      <w:r w:rsidR="008E5B39">
        <w:rPr>
          <w:rFonts w:cstheme="minorHAnsi"/>
        </w:rPr>
        <w:t xml:space="preserve">He noted that </w:t>
      </w:r>
      <w:r w:rsidR="00A012E3">
        <w:rPr>
          <w:rFonts w:cstheme="minorHAnsi"/>
        </w:rPr>
        <w:t>the sample was</w:t>
      </w:r>
      <w:r w:rsidR="008E5B39">
        <w:rPr>
          <w:rFonts w:cstheme="minorHAnsi"/>
        </w:rPr>
        <w:t xml:space="preserve"> nonrepresentative</w:t>
      </w:r>
      <w:r w:rsidR="004545C0">
        <w:rPr>
          <w:rFonts w:cstheme="minorHAnsi"/>
        </w:rPr>
        <w:t xml:space="preserve"> because participants were recruited online</w:t>
      </w:r>
      <w:r w:rsidR="007E65EC">
        <w:rPr>
          <w:rFonts w:cstheme="minorHAnsi"/>
        </w:rPr>
        <w:t xml:space="preserve"> (so those who stopped identifying as transgender would be excluded)</w:t>
      </w:r>
      <w:r w:rsidR="00B670A2">
        <w:rPr>
          <w:rFonts w:cstheme="minorHAnsi"/>
        </w:rPr>
        <w:t xml:space="preserve"> and that </w:t>
      </w:r>
      <w:r w:rsidR="00303982">
        <w:rPr>
          <w:rFonts w:cstheme="minorHAnsi"/>
        </w:rPr>
        <w:t xml:space="preserve">of the nine measures examined by the study </w:t>
      </w:r>
      <w:r w:rsidR="00E95063">
        <w:rPr>
          <w:rFonts w:cstheme="minorHAnsi"/>
        </w:rPr>
        <w:t>“</w:t>
      </w:r>
      <w:r w:rsidR="00E95063" w:rsidRPr="00E95063">
        <w:rPr>
          <w:rFonts w:cstheme="minorHAnsi"/>
        </w:rPr>
        <w:t>only one of these</w:t>
      </w:r>
      <w:r w:rsidR="00E95063">
        <w:rPr>
          <w:rFonts w:cstheme="minorHAnsi"/>
        </w:rPr>
        <w:t xml:space="preserve"> </w:t>
      </w:r>
      <w:r w:rsidR="00E95063" w:rsidRPr="00E95063">
        <w:rPr>
          <w:rFonts w:cstheme="minorHAnsi"/>
        </w:rPr>
        <w:t>nine measures yielded a statistically significant association</w:t>
      </w:r>
      <w:r w:rsidR="00B350C3">
        <w:rPr>
          <w:rFonts w:cstheme="minorHAnsi"/>
        </w:rPr>
        <w:t>.</w:t>
      </w:r>
      <w:r w:rsidR="00E95063">
        <w:rPr>
          <w:rFonts w:cstheme="minorHAnsi"/>
        </w:rPr>
        <w:t>”</w:t>
      </w:r>
      <w:r w:rsidR="0011799B">
        <w:rPr>
          <w:rFonts w:cstheme="minorHAnsi"/>
        </w:rPr>
        <w:t xml:space="preserve"> Dr. Biggs notes </w:t>
      </w:r>
      <w:r w:rsidR="00586C6F">
        <w:rPr>
          <w:rFonts w:cstheme="minorHAnsi"/>
        </w:rPr>
        <w:t xml:space="preserve">other significant problems with the Turban study </w:t>
      </w:r>
      <w:r w:rsidR="0011799B">
        <w:rPr>
          <w:rFonts w:cstheme="minorHAnsi"/>
        </w:rPr>
        <w:t>that might be evident to a</w:t>
      </w:r>
      <w:r w:rsidR="008119F1">
        <w:rPr>
          <w:rFonts w:cstheme="minorHAnsi"/>
        </w:rPr>
        <w:t>n average reader</w:t>
      </w:r>
      <w:r w:rsidR="00586C6F">
        <w:rPr>
          <w:rFonts w:cstheme="minorHAnsi"/>
        </w:rPr>
        <w:t>:</w:t>
      </w:r>
    </w:p>
    <w:p w14:paraId="45AC9E03" w14:textId="764526BD" w:rsidR="005E1306" w:rsidRPr="00EF7875" w:rsidRDefault="00FC42AA" w:rsidP="00EF7875">
      <w:pPr>
        <w:pStyle w:val="ListParagraph"/>
        <w:numPr>
          <w:ilvl w:val="0"/>
          <w:numId w:val="47"/>
        </w:numPr>
        <w:spacing w:line="320" w:lineRule="exact"/>
        <w:rPr>
          <w:rFonts w:cstheme="minorHAnsi"/>
        </w:rPr>
      </w:pPr>
      <w:r w:rsidRPr="00EF7875">
        <w:rPr>
          <w:rFonts w:cstheme="minorHAnsi"/>
        </w:rPr>
        <w:t>7</w:t>
      </w:r>
      <w:r w:rsidR="00563879" w:rsidRPr="00EF7875">
        <w:rPr>
          <w:rFonts w:cstheme="minorHAnsi"/>
        </w:rPr>
        <w:t>3%</w:t>
      </w:r>
      <w:r w:rsidR="00E14BFD" w:rsidRPr="00EF7875">
        <w:rPr>
          <w:rFonts w:cstheme="minorHAnsi"/>
        </w:rPr>
        <w:t xml:space="preserve"> of the </w:t>
      </w:r>
      <w:r w:rsidR="003C659F" w:rsidRPr="00EF7875">
        <w:rPr>
          <w:rFonts w:cstheme="minorHAnsi"/>
        </w:rPr>
        <w:t xml:space="preserve">respondents to </w:t>
      </w:r>
      <w:r w:rsidR="00563879" w:rsidRPr="00EF7875">
        <w:rPr>
          <w:rFonts w:cstheme="minorHAnsi"/>
        </w:rPr>
        <w:t xml:space="preserve">who were reported to have taken </w:t>
      </w:r>
      <w:r w:rsidR="00D9610D" w:rsidRPr="00EF7875">
        <w:rPr>
          <w:rFonts w:cstheme="minorHAnsi"/>
        </w:rPr>
        <w:t xml:space="preserve">puberty blockers </w:t>
      </w:r>
      <w:r w:rsidR="003C659F" w:rsidRPr="00EF7875">
        <w:rPr>
          <w:rFonts w:cstheme="minorHAnsi"/>
        </w:rPr>
        <w:t>in the survey used for this study “</w:t>
      </w:r>
      <w:r w:rsidR="00563879" w:rsidRPr="00EF7875">
        <w:rPr>
          <w:rFonts w:cstheme="minorHAnsi"/>
        </w:rPr>
        <w:t>said they started on them after the age of</w:t>
      </w:r>
      <w:r w:rsidR="00D9610D" w:rsidRPr="00EF7875">
        <w:rPr>
          <w:rFonts w:cstheme="minorHAnsi"/>
        </w:rPr>
        <w:t xml:space="preserve"> </w:t>
      </w:r>
      <w:r w:rsidR="00563879" w:rsidRPr="00EF7875">
        <w:rPr>
          <w:rFonts w:cstheme="minorHAnsi"/>
        </w:rPr>
        <w:t>18 years”</w:t>
      </w:r>
      <w:r w:rsidR="00660649" w:rsidRPr="00EF7875">
        <w:rPr>
          <w:rFonts w:cstheme="minorHAnsi"/>
        </w:rPr>
        <w:t xml:space="preserve"> which means that what they took could not actually have b</w:t>
      </w:r>
      <w:r w:rsidR="003C659F" w:rsidRPr="00EF7875">
        <w:rPr>
          <w:rFonts w:cstheme="minorHAnsi"/>
        </w:rPr>
        <w:t>een puberty blockers</w:t>
      </w:r>
      <w:r w:rsidR="00660649" w:rsidRPr="00EF7875">
        <w:rPr>
          <w:rFonts w:cstheme="minorHAnsi"/>
        </w:rPr>
        <w:t>.</w:t>
      </w:r>
      <w:r w:rsidR="003C659F" w:rsidRPr="00EF7875">
        <w:rPr>
          <w:rFonts w:cstheme="minorHAnsi"/>
        </w:rPr>
        <w:t xml:space="preserve"> </w:t>
      </w:r>
      <w:r w:rsidR="00E04438" w:rsidRPr="00EF7875">
        <w:rPr>
          <w:rFonts w:cstheme="minorHAnsi"/>
        </w:rPr>
        <w:t>This group was excluded from the 89</w:t>
      </w:r>
      <w:r w:rsidR="00C3017D" w:rsidRPr="00EF7875">
        <w:rPr>
          <w:rFonts w:cstheme="minorHAnsi"/>
        </w:rPr>
        <w:t>-</w:t>
      </w:r>
      <w:r w:rsidR="00E04438" w:rsidRPr="00EF7875">
        <w:rPr>
          <w:rFonts w:cstheme="minorHAnsi"/>
        </w:rPr>
        <w:t>person subsample in the Turban study</w:t>
      </w:r>
      <w:r w:rsidR="000B0838" w:rsidRPr="00EF7875">
        <w:rPr>
          <w:rFonts w:cstheme="minorHAnsi"/>
        </w:rPr>
        <w:t xml:space="preserve"> but were included in the comparison group</w:t>
      </w:r>
      <w:r w:rsidR="00DC3725" w:rsidRPr="00EF7875">
        <w:rPr>
          <w:rFonts w:cstheme="minorHAnsi"/>
        </w:rPr>
        <w:t xml:space="preserve"> so th</w:t>
      </w:r>
      <w:r w:rsidR="00754446" w:rsidRPr="00EF7875">
        <w:rPr>
          <w:rFonts w:cstheme="minorHAnsi"/>
        </w:rPr>
        <w:t>e comparison</w:t>
      </w:r>
      <w:r w:rsidR="00DC3725" w:rsidRPr="00EF7875">
        <w:rPr>
          <w:rFonts w:cstheme="minorHAnsi"/>
        </w:rPr>
        <w:t xml:space="preserve"> group </w:t>
      </w:r>
      <w:r w:rsidR="00853F51" w:rsidRPr="00EF7875">
        <w:rPr>
          <w:rFonts w:cstheme="minorHAnsi"/>
        </w:rPr>
        <w:t>“included an unknown number of respondents—possibly the majority—who actually wanted cross-sex hormones.”</w:t>
      </w:r>
      <w:r w:rsidR="00053FA2" w:rsidRPr="00EF7875">
        <w:rPr>
          <w:rFonts w:cstheme="minorHAnsi"/>
        </w:rPr>
        <w:t xml:space="preserve"> This, of course, would skew the comparisons.</w:t>
      </w:r>
    </w:p>
    <w:p w14:paraId="55EC2941" w14:textId="38D31FFC" w:rsidR="00FC42AA" w:rsidRPr="00EF7875" w:rsidRDefault="00995300" w:rsidP="00EF7875">
      <w:pPr>
        <w:pStyle w:val="ListParagraph"/>
        <w:numPr>
          <w:ilvl w:val="0"/>
          <w:numId w:val="47"/>
        </w:numPr>
        <w:spacing w:line="320" w:lineRule="exact"/>
        <w:rPr>
          <w:rFonts w:cstheme="minorHAnsi"/>
        </w:rPr>
      </w:pPr>
      <w:r w:rsidRPr="00EF7875">
        <w:rPr>
          <w:rFonts w:cstheme="minorHAnsi"/>
        </w:rPr>
        <w:t>“The subsample was confined to respondents who were aged under 18 in 1998</w:t>
      </w:r>
      <w:r w:rsidR="003E6595" w:rsidRPr="00EF7875">
        <w:rPr>
          <w:rFonts w:cstheme="minorHAnsi"/>
        </w:rPr>
        <w:t xml:space="preserve">” but puberty blockers were not </w:t>
      </w:r>
      <w:r w:rsidR="00F84C49" w:rsidRPr="00EF7875">
        <w:rPr>
          <w:rFonts w:cstheme="minorHAnsi"/>
        </w:rPr>
        <w:t xml:space="preserve">generally </w:t>
      </w:r>
      <w:r w:rsidR="003E6595" w:rsidRPr="00EF7875">
        <w:rPr>
          <w:rFonts w:cstheme="minorHAnsi"/>
        </w:rPr>
        <w:t xml:space="preserve">available </w:t>
      </w:r>
      <w:r w:rsidR="00F84C49" w:rsidRPr="00EF7875">
        <w:rPr>
          <w:rFonts w:cstheme="minorHAnsi"/>
        </w:rPr>
        <w:t>in the United States until 2009</w:t>
      </w:r>
      <w:r w:rsidR="00C60EFB" w:rsidRPr="00EF7875">
        <w:rPr>
          <w:rFonts w:cstheme="minorHAnsi"/>
        </w:rPr>
        <w:t xml:space="preserve">, so the </w:t>
      </w:r>
      <w:r w:rsidR="00C12C56" w:rsidRPr="00EF7875">
        <w:rPr>
          <w:rFonts w:cstheme="minorHAnsi"/>
        </w:rPr>
        <w:t xml:space="preserve">“subsample </w:t>
      </w:r>
      <w:r w:rsidR="005E32FC" w:rsidRPr="00EF7875">
        <w:rPr>
          <w:rFonts w:cstheme="minorHAnsi"/>
        </w:rPr>
        <w:t>included older respondents who, in fact, had no opportunity to obtain these drugs and so cannot be used for comparison.”</w:t>
      </w:r>
    </w:p>
    <w:p w14:paraId="167EDD51" w14:textId="081113EE" w:rsidR="001E25F7" w:rsidRPr="00EF7875" w:rsidRDefault="00775A8A" w:rsidP="00EF7875">
      <w:pPr>
        <w:pStyle w:val="ListParagraph"/>
        <w:numPr>
          <w:ilvl w:val="0"/>
          <w:numId w:val="47"/>
        </w:numPr>
        <w:spacing w:line="320" w:lineRule="exact"/>
        <w:rPr>
          <w:rFonts w:cstheme="minorHAnsi"/>
        </w:rPr>
      </w:pPr>
      <w:r w:rsidRPr="00EF7875">
        <w:rPr>
          <w:rFonts w:cstheme="minorHAnsi"/>
        </w:rPr>
        <w:t xml:space="preserve">The Turban study did not adequately control for </w:t>
      </w:r>
      <w:r w:rsidR="006102C8" w:rsidRPr="00EF7875">
        <w:rPr>
          <w:rFonts w:cstheme="minorHAnsi"/>
        </w:rPr>
        <w:t xml:space="preserve">psychological problems that existed before </w:t>
      </w:r>
      <w:r w:rsidR="00CA21A8" w:rsidRPr="00EF7875">
        <w:rPr>
          <w:rFonts w:cstheme="minorHAnsi"/>
        </w:rPr>
        <w:t>puberty blockers were given or withheld</w:t>
      </w:r>
      <w:r w:rsidR="003A7781" w:rsidRPr="00EF7875">
        <w:rPr>
          <w:rFonts w:cstheme="minorHAnsi"/>
        </w:rPr>
        <w:t>. This is significant because “adolescents with severe psychological problems would</w:t>
      </w:r>
      <w:r w:rsidR="00EF7875" w:rsidRPr="00EF7875">
        <w:rPr>
          <w:rFonts w:cstheme="minorHAnsi"/>
        </w:rPr>
        <w:t xml:space="preserve"> </w:t>
      </w:r>
      <w:r w:rsidR="003A7781" w:rsidRPr="00EF7875">
        <w:rPr>
          <w:rFonts w:cstheme="minorHAnsi"/>
        </w:rPr>
        <w:t>have been less eligible for drug treatment</w:t>
      </w:r>
      <w:r w:rsidR="00EF7875" w:rsidRPr="00EF7875">
        <w:rPr>
          <w:rFonts w:cstheme="minorHAnsi"/>
        </w:rPr>
        <w:t>.</w:t>
      </w:r>
      <w:r w:rsidR="003A7781" w:rsidRPr="00EF7875">
        <w:rPr>
          <w:rFonts w:cstheme="minorHAnsi"/>
        </w:rPr>
        <w:t>”</w:t>
      </w:r>
      <w:r w:rsidR="007C0E53" w:rsidRPr="00EF7875">
        <w:rPr>
          <w:rFonts w:cstheme="minorHAnsi"/>
        </w:rPr>
        <w:t xml:space="preserve"> </w:t>
      </w:r>
      <w:r w:rsidR="00EF7875" w:rsidRPr="00EF7875">
        <w:rPr>
          <w:rFonts w:cstheme="minorHAnsi"/>
        </w:rPr>
        <w:t>S</w:t>
      </w:r>
      <w:r w:rsidR="007C0E53" w:rsidRPr="00EF7875">
        <w:rPr>
          <w:rFonts w:cstheme="minorHAnsi"/>
        </w:rPr>
        <w:t>o</w:t>
      </w:r>
      <w:r w:rsidR="00EF7875" w:rsidRPr="00EF7875">
        <w:rPr>
          <w:rFonts w:cstheme="minorHAnsi"/>
        </w:rPr>
        <w:t>,</w:t>
      </w:r>
      <w:r w:rsidR="00CA21A8" w:rsidRPr="00EF7875">
        <w:rPr>
          <w:rFonts w:cstheme="minorHAnsi"/>
        </w:rPr>
        <w:t xml:space="preserve"> </w:t>
      </w:r>
      <w:r w:rsidR="007C0E53" w:rsidRPr="00EF7875">
        <w:rPr>
          <w:rFonts w:cstheme="minorHAnsi"/>
        </w:rPr>
        <w:t xml:space="preserve">“a negative association found many years after treatment is compatible with three scenarios: puberty blockers reduced suicidal ideation; puberty blockers had no effect on suicidal ideation; puberty </w:t>
      </w:r>
      <w:r w:rsidR="007C0E53" w:rsidRPr="00EF7875">
        <w:rPr>
          <w:rFonts w:cstheme="minorHAnsi"/>
        </w:rPr>
        <w:lastRenderedPageBreak/>
        <w:t>blockers increased suicidal ideation, albeit not enough to counteract the initial negative effect of psychological problems on eligibility.”</w:t>
      </w:r>
    </w:p>
    <w:p w14:paraId="2C4C8799" w14:textId="065CFE1E" w:rsidR="0084374B" w:rsidRDefault="0084374B" w:rsidP="00853F51">
      <w:pPr>
        <w:spacing w:line="320" w:lineRule="exact"/>
        <w:rPr>
          <w:rFonts w:cstheme="minorHAnsi"/>
        </w:rPr>
      </w:pPr>
    </w:p>
    <w:p w14:paraId="388D84BD" w14:textId="181E6724" w:rsidR="00C64826" w:rsidRDefault="00C64826" w:rsidP="00853F51">
      <w:pPr>
        <w:spacing w:line="320" w:lineRule="exact"/>
        <w:rPr>
          <w:rFonts w:cstheme="minorHAnsi"/>
        </w:rPr>
      </w:pPr>
      <w:r>
        <w:rPr>
          <w:rFonts w:cstheme="minorHAnsi"/>
        </w:rPr>
        <w:t xml:space="preserve">Prominent </w:t>
      </w:r>
      <w:r w:rsidR="0000184E">
        <w:rPr>
          <w:rFonts w:cstheme="minorHAnsi"/>
        </w:rPr>
        <w:t>psychologist Kenneth Zucker noted</w:t>
      </w:r>
      <w:r w:rsidR="00343485">
        <w:rPr>
          <w:rFonts w:cstheme="minorHAnsi"/>
        </w:rPr>
        <w:t xml:space="preserve"> that half of those who received puberty blockers as adolescents</w:t>
      </w:r>
      <w:r w:rsidR="00630E8E">
        <w:rPr>
          <w:rFonts w:cstheme="minorHAnsi"/>
        </w:rPr>
        <w:t xml:space="preserve"> experienced suicidal thoughts over the last year. Dr. Zucker said: </w:t>
      </w:r>
      <w:r w:rsidR="0086276A" w:rsidRPr="0086276A">
        <w:rPr>
          <w:rFonts w:cstheme="minorHAnsi"/>
        </w:rPr>
        <w:t xml:space="preserve">“That’s not </w:t>
      </w:r>
      <w:proofErr w:type="gramStart"/>
      <w:r w:rsidR="0086276A" w:rsidRPr="0086276A">
        <w:rPr>
          <w:rFonts w:cstheme="minorHAnsi"/>
        </w:rPr>
        <w:t>very good</w:t>
      </w:r>
      <w:proofErr w:type="gramEnd"/>
      <w:r w:rsidR="0086276A">
        <w:rPr>
          <w:rFonts w:cstheme="minorHAnsi"/>
        </w:rPr>
        <w:t xml:space="preserve">. </w:t>
      </w:r>
      <w:proofErr w:type="gramStart"/>
      <w:r w:rsidR="0086276A" w:rsidRPr="0086276A">
        <w:rPr>
          <w:rFonts w:cstheme="minorHAnsi"/>
        </w:rPr>
        <w:t>It’s</w:t>
      </w:r>
      <w:proofErr w:type="gramEnd"/>
      <w:r w:rsidR="0086276A" w:rsidRPr="0086276A">
        <w:rPr>
          <w:rFonts w:cstheme="minorHAnsi"/>
        </w:rPr>
        <w:t xml:space="preserve"> a little lower than the 64 percent who said they wanted [blockers] but didn’t get it. But gee, that’s still a lot of suicidal ideation.”</w:t>
      </w:r>
      <w:r w:rsidR="00953370">
        <w:rPr>
          <w:rStyle w:val="EndnoteReference"/>
          <w:rFonts w:cstheme="minorHAnsi"/>
        </w:rPr>
        <w:endnoteReference w:id="25"/>
      </w:r>
    </w:p>
    <w:p w14:paraId="196D04C7" w14:textId="77777777" w:rsidR="00C64826" w:rsidRDefault="00C64826" w:rsidP="00853F51">
      <w:pPr>
        <w:spacing w:line="320" w:lineRule="exact"/>
        <w:rPr>
          <w:rFonts w:cstheme="minorHAnsi"/>
        </w:rPr>
      </w:pPr>
    </w:p>
    <w:p w14:paraId="43D37710" w14:textId="77777777" w:rsidR="00D67756" w:rsidRPr="00D67756" w:rsidRDefault="00D67756" w:rsidP="00E806CF">
      <w:pPr>
        <w:spacing w:line="320" w:lineRule="exact"/>
        <w:rPr>
          <w:rFonts w:cstheme="minorHAnsi"/>
          <w:u w:val="single"/>
        </w:rPr>
      </w:pPr>
      <w:proofErr w:type="spellStart"/>
      <w:r w:rsidRPr="00D67756">
        <w:rPr>
          <w:rFonts w:cstheme="minorHAnsi"/>
          <w:u w:val="single"/>
        </w:rPr>
        <w:t>Kuper</w:t>
      </w:r>
      <w:proofErr w:type="spellEnd"/>
      <w:r w:rsidRPr="00D67756">
        <w:rPr>
          <w:rFonts w:cstheme="minorHAnsi"/>
          <w:u w:val="single"/>
        </w:rPr>
        <w:t xml:space="preserve"> Study</w:t>
      </w:r>
    </w:p>
    <w:p w14:paraId="2328E5E2" w14:textId="0145BEDF" w:rsidR="00CD242D" w:rsidRPr="00AD35FE" w:rsidRDefault="00A63159" w:rsidP="00E806CF">
      <w:pPr>
        <w:spacing w:line="320" w:lineRule="exact"/>
        <w:rPr>
          <w:rFonts w:cstheme="minorHAnsi"/>
        </w:rPr>
      </w:pPr>
      <w:r>
        <w:rPr>
          <w:rFonts w:cstheme="minorHAnsi"/>
        </w:rPr>
        <w:br/>
      </w:r>
      <w:r w:rsidR="00CC4EDF">
        <w:rPr>
          <w:rFonts w:cstheme="minorHAnsi"/>
        </w:rPr>
        <w:t xml:space="preserve">Another study </w:t>
      </w:r>
      <w:r w:rsidR="00794D98">
        <w:rPr>
          <w:rFonts w:cstheme="minorHAnsi"/>
        </w:rPr>
        <w:t xml:space="preserve">claimed to find that </w:t>
      </w:r>
      <w:r w:rsidR="00AF6EFE">
        <w:rPr>
          <w:rFonts w:cstheme="minorHAnsi"/>
        </w:rPr>
        <w:t xml:space="preserve">giving cross-sex hormones to children with gender dysphoria </w:t>
      </w:r>
      <w:r w:rsidR="004964CA">
        <w:rPr>
          <w:rFonts w:cstheme="minorHAnsi"/>
        </w:rPr>
        <w:t xml:space="preserve">alleviated </w:t>
      </w:r>
      <w:r w:rsidR="005974C3">
        <w:rPr>
          <w:rFonts w:cstheme="minorHAnsi"/>
        </w:rPr>
        <w:t>their experience of body dissatisfaction.</w:t>
      </w:r>
      <w:r w:rsidR="004F304F">
        <w:rPr>
          <w:rStyle w:val="EndnoteReference"/>
          <w:rFonts w:cstheme="minorHAnsi"/>
        </w:rPr>
        <w:endnoteReference w:id="26"/>
      </w:r>
      <w:r w:rsidR="004F304F">
        <w:rPr>
          <w:rFonts w:cstheme="minorHAnsi"/>
        </w:rPr>
        <w:t xml:space="preserve"> </w:t>
      </w:r>
      <w:proofErr w:type="gramStart"/>
      <w:r w:rsidR="004F304F">
        <w:rPr>
          <w:rFonts w:cstheme="minorHAnsi"/>
        </w:rPr>
        <w:t>A number of</w:t>
      </w:r>
      <w:proofErr w:type="gramEnd"/>
      <w:r w:rsidR="004F304F">
        <w:rPr>
          <w:rFonts w:cstheme="minorHAnsi"/>
        </w:rPr>
        <w:t xml:space="preserve"> limitations </w:t>
      </w:r>
      <w:r w:rsidR="00D43EA8">
        <w:rPr>
          <w:rFonts w:cstheme="minorHAnsi"/>
        </w:rPr>
        <w:t>are eviden</w:t>
      </w:r>
      <w:r w:rsidR="00D24B48">
        <w:rPr>
          <w:rFonts w:cstheme="minorHAnsi"/>
        </w:rPr>
        <w:t>t in this study as well</w:t>
      </w:r>
      <w:r w:rsidR="00D43EA8">
        <w:rPr>
          <w:rFonts w:cstheme="minorHAnsi"/>
        </w:rPr>
        <w:t>:</w:t>
      </w:r>
    </w:p>
    <w:p w14:paraId="45CB9896" w14:textId="6FCA7D42" w:rsidR="000E23C5" w:rsidRPr="00AD35FE" w:rsidRDefault="000E23C5" w:rsidP="00E806CF">
      <w:pPr>
        <w:spacing w:line="320" w:lineRule="exact"/>
        <w:rPr>
          <w:rFonts w:cstheme="minorHAnsi"/>
        </w:rPr>
      </w:pPr>
    </w:p>
    <w:p w14:paraId="3CDBFB43" w14:textId="1EEA1145" w:rsidR="000E23C5" w:rsidRDefault="000E23C5" w:rsidP="00BB2B3C">
      <w:pPr>
        <w:pStyle w:val="ListParagraph"/>
        <w:numPr>
          <w:ilvl w:val="0"/>
          <w:numId w:val="45"/>
        </w:numPr>
        <w:spacing w:line="320" w:lineRule="exact"/>
      </w:pPr>
      <w:r>
        <w:t xml:space="preserve">The </w:t>
      </w:r>
      <w:r w:rsidR="00002987">
        <w:t xml:space="preserve">body dissatisfaction </w:t>
      </w:r>
      <w:r>
        <w:t xml:space="preserve">reports are from </w:t>
      </w:r>
      <w:r w:rsidR="00E2427D">
        <w:t>surveys,</w:t>
      </w:r>
      <w:r>
        <w:t xml:space="preserve"> so we only have the reports of the children. </w:t>
      </w:r>
      <w:r w:rsidR="00B1557A">
        <w:t>Since their families invested in the treatment, the children could have</w:t>
      </w:r>
      <w:r>
        <w:t xml:space="preserve"> an incentive to put the best face on things.</w:t>
      </w:r>
    </w:p>
    <w:p w14:paraId="5E43065D" w14:textId="0980802F" w:rsidR="000E23C5" w:rsidRDefault="000E23C5" w:rsidP="00BB2B3C">
      <w:pPr>
        <w:pStyle w:val="ListParagraph"/>
        <w:numPr>
          <w:ilvl w:val="0"/>
          <w:numId w:val="45"/>
        </w:numPr>
        <w:spacing w:line="320" w:lineRule="exact"/>
      </w:pPr>
      <w:r>
        <w:t>There was no comparison group. It could be that teenagers have some shift in things like body image over time regardless of treatment.</w:t>
      </w:r>
    </w:p>
    <w:p w14:paraId="4C58137F" w14:textId="2857A3E8" w:rsidR="000E23C5" w:rsidRDefault="000E23C5" w:rsidP="00BB2B3C">
      <w:pPr>
        <w:pStyle w:val="ListParagraph"/>
        <w:numPr>
          <w:ilvl w:val="0"/>
          <w:numId w:val="45"/>
        </w:numPr>
        <w:spacing w:line="320" w:lineRule="exact"/>
      </w:pPr>
      <w:r>
        <w:t>The measure of body dissatisfaction is particularly subjective. If a child is seeking treatment to change appearance, it stands to reason that they will be initially happy when they get what they want. The question is how long that will last?</w:t>
      </w:r>
    </w:p>
    <w:p w14:paraId="134CDD98" w14:textId="211CB770" w:rsidR="00FB2C3F" w:rsidRDefault="00FB2C3F" w:rsidP="00FB2C3F">
      <w:pPr>
        <w:pStyle w:val="ListParagraph"/>
        <w:numPr>
          <w:ilvl w:val="0"/>
          <w:numId w:val="45"/>
        </w:numPr>
        <w:spacing w:line="320" w:lineRule="exact"/>
      </w:pPr>
      <w:r>
        <w:t xml:space="preserve">The </w:t>
      </w:r>
      <w:r w:rsidR="00F43B09">
        <w:t xml:space="preserve">study reports a decrease </w:t>
      </w:r>
      <w:r w:rsidR="000C6B14">
        <w:t xml:space="preserve">in </w:t>
      </w:r>
      <w:r w:rsidR="00070B8C">
        <w:t xml:space="preserve">self-reported </w:t>
      </w:r>
      <w:r w:rsidR="000C6B14">
        <w:t xml:space="preserve">depression </w:t>
      </w:r>
      <w:r w:rsidR="001C5A38">
        <w:t>though</w:t>
      </w:r>
      <w:r w:rsidR="00070B8C">
        <w:t xml:space="preserve"> not </w:t>
      </w:r>
      <w:r w:rsidR="001C5A38">
        <w:t>doctor-reported</w:t>
      </w:r>
      <w:r w:rsidR="000C6B14">
        <w:t xml:space="preserve"> </w:t>
      </w:r>
      <w:r w:rsidR="001C5A38">
        <w:t xml:space="preserve">depression, </w:t>
      </w:r>
      <w:r w:rsidR="000C6B14">
        <w:t xml:space="preserve">but these changes </w:t>
      </w:r>
      <w:r>
        <w:t>were “small to moderate.”</w:t>
      </w:r>
    </w:p>
    <w:p w14:paraId="06DDC532" w14:textId="303DA9A1" w:rsidR="00FB2C3F" w:rsidRDefault="000C6B14" w:rsidP="00FB2C3F">
      <w:pPr>
        <w:pStyle w:val="ListParagraph"/>
        <w:numPr>
          <w:ilvl w:val="0"/>
          <w:numId w:val="45"/>
        </w:numPr>
        <w:spacing w:line="320" w:lineRule="exact"/>
      </w:pPr>
      <w:r>
        <w:t xml:space="preserve">Similar reported decreases in </w:t>
      </w:r>
      <w:r w:rsidR="00FB2C3F">
        <w:t>anxiety were “small.”</w:t>
      </w:r>
    </w:p>
    <w:p w14:paraId="37157A8B" w14:textId="15C0D358" w:rsidR="00825E98" w:rsidRDefault="000E23C5" w:rsidP="00BB2B3C">
      <w:pPr>
        <w:pStyle w:val="ListParagraph"/>
        <w:numPr>
          <w:ilvl w:val="0"/>
          <w:numId w:val="45"/>
        </w:numPr>
        <w:spacing w:line="320" w:lineRule="exact"/>
      </w:pPr>
      <w:r>
        <w:t>The amount of time covered in the survey was one</w:t>
      </w:r>
      <w:r w:rsidR="00965E9B">
        <w:t xml:space="preserve"> </w:t>
      </w:r>
      <w:r w:rsidR="00646E23">
        <w:t>year,</w:t>
      </w:r>
      <w:r>
        <w:t xml:space="preserve"> so </w:t>
      </w:r>
      <w:r w:rsidR="00B10EA7">
        <w:t xml:space="preserve">the reports </w:t>
      </w:r>
      <w:r w:rsidR="00C90AA8">
        <w:t>give us no information about long-term effects of the surgery</w:t>
      </w:r>
      <w:r>
        <w:t xml:space="preserve">. </w:t>
      </w:r>
    </w:p>
    <w:p w14:paraId="7942028D" w14:textId="53D2FBD7" w:rsidR="00AB4C3D" w:rsidRDefault="00AB4C3D" w:rsidP="00BB2B3C">
      <w:pPr>
        <w:pStyle w:val="ListParagraph"/>
        <w:numPr>
          <w:ilvl w:val="0"/>
          <w:numId w:val="45"/>
        </w:numPr>
        <w:spacing w:line="320" w:lineRule="exact"/>
      </w:pPr>
      <w:r>
        <w:t>The mean age of participants was 14.9 and some of the participants were as young as 9. None were older than 18.</w:t>
      </w:r>
    </w:p>
    <w:p w14:paraId="60225471" w14:textId="77777777" w:rsidR="00965E9B" w:rsidRDefault="00AB4C3D" w:rsidP="00BB2B3C">
      <w:pPr>
        <w:pStyle w:val="ListParagraph"/>
        <w:numPr>
          <w:ilvl w:val="0"/>
          <w:numId w:val="45"/>
        </w:numPr>
        <w:spacing w:line="320" w:lineRule="exact"/>
      </w:pPr>
      <w:r>
        <w:t xml:space="preserve">The initial measures related to suicide were extraordinarily high (81% of participants had thoughts of suicide). </w:t>
      </w:r>
    </w:p>
    <w:p w14:paraId="57EDE9D1" w14:textId="43CA5371" w:rsidR="00C90579" w:rsidRDefault="00AB4C3D" w:rsidP="00133EEF">
      <w:pPr>
        <w:pStyle w:val="ListParagraph"/>
        <w:numPr>
          <w:ilvl w:val="0"/>
          <w:numId w:val="45"/>
        </w:numPr>
        <w:spacing w:line="320" w:lineRule="exact"/>
      </w:pPr>
      <w:r>
        <w:t xml:space="preserve">It could be that the attention and support that are part of the “treatment” could </w:t>
      </w:r>
      <w:proofErr w:type="gramStart"/>
      <w:r>
        <w:t>have an effect</w:t>
      </w:r>
      <w:r w:rsidR="00965E9B">
        <w:t xml:space="preserve"> on</w:t>
      </w:r>
      <w:proofErr w:type="gramEnd"/>
      <w:r w:rsidR="00965E9B">
        <w:t xml:space="preserve"> any of the measures.</w:t>
      </w:r>
    </w:p>
    <w:p w14:paraId="67D8C14D" w14:textId="6C23ADF1" w:rsidR="00C737D3" w:rsidRDefault="00C737D3" w:rsidP="00BB2B3C">
      <w:pPr>
        <w:pStyle w:val="ListParagraph"/>
        <w:numPr>
          <w:ilvl w:val="0"/>
          <w:numId w:val="45"/>
        </w:numPr>
        <w:spacing w:line="320" w:lineRule="exact"/>
      </w:pPr>
      <w:r>
        <w:t xml:space="preserve">Of the </w:t>
      </w:r>
      <w:r w:rsidR="00C2013A">
        <w:t xml:space="preserve">209 initial participants, only 148 </w:t>
      </w:r>
      <w:r w:rsidR="002A2537">
        <w:t>provided</w:t>
      </w:r>
      <w:r w:rsidR="00C2013A">
        <w:t xml:space="preserve"> follow up</w:t>
      </w:r>
      <w:r w:rsidR="002A2537">
        <w:t xml:space="preserve"> data</w:t>
      </w:r>
      <w:r w:rsidR="00F97855">
        <w:t xml:space="preserve"> (a loss of 29%)</w:t>
      </w:r>
      <w:r w:rsidR="000B00BB">
        <w:t>.</w:t>
      </w:r>
    </w:p>
    <w:p w14:paraId="3E7FCD97" w14:textId="0F37583F" w:rsidR="000E23C5" w:rsidRDefault="0071264B" w:rsidP="008B3A97">
      <w:pPr>
        <w:pStyle w:val="ListParagraph"/>
        <w:numPr>
          <w:ilvl w:val="0"/>
          <w:numId w:val="45"/>
        </w:numPr>
        <w:spacing w:line="320" w:lineRule="exact"/>
      </w:pPr>
      <w:r>
        <w:t>I</w:t>
      </w:r>
      <w:r w:rsidR="000E23C5">
        <w:t>n the video abstract</w:t>
      </w:r>
      <w:r w:rsidR="00031E10">
        <w:t xml:space="preserve"> of the article</w:t>
      </w:r>
      <w:r w:rsidR="000E23C5">
        <w:t xml:space="preserve">, there is a chart that shows change on measures of </w:t>
      </w:r>
      <w:r>
        <w:t>self-harm</w:t>
      </w:r>
      <w:r w:rsidR="002D2515">
        <w:t xml:space="preserve"> (</w:t>
      </w:r>
      <w:r w:rsidR="00D03F7A">
        <w:t xml:space="preserve">suicidal </w:t>
      </w:r>
      <w:r w:rsidR="002D2515">
        <w:t xml:space="preserve">thoughts, </w:t>
      </w:r>
      <w:r w:rsidR="00D03F7A">
        <w:t xml:space="preserve">suicide </w:t>
      </w:r>
      <w:r w:rsidR="002D2515">
        <w:t>attempts</w:t>
      </w:r>
      <w:r w:rsidR="00DC5085">
        <w:t xml:space="preserve"> </w:t>
      </w:r>
      <w:r w:rsidR="00D03F7A">
        <w:t xml:space="preserve">and self-injury) </w:t>
      </w:r>
      <w:r w:rsidR="00DC5085">
        <w:t xml:space="preserve">after </w:t>
      </w:r>
      <w:r w:rsidR="00787AC2">
        <w:t xml:space="preserve">receiving cross-sex hormones. </w:t>
      </w:r>
      <w:r w:rsidR="005D3885">
        <w:t xml:space="preserve">The first column shows </w:t>
      </w:r>
      <w:r w:rsidR="00B41090">
        <w:t>lifetime experience</w:t>
      </w:r>
      <w:r w:rsidR="00850918">
        <w:t xml:space="preserve">. The second column </w:t>
      </w:r>
      <w:r w:rsidR="002D2515">
        <w:t>shows the percentage of th</w:t>
      </w:r>
      <w:r w:rsidR="00074ABC">
        <w:t xml:space="preserve">ose in the study reporting each of these </w:t>
      </w:r>
      <w:r w:rsidR="000077F4">
        <w:t>behaviors</w:t>
      </w:r>
      <w:r w:rsidR="003F0D61">
        <w:t xml:space="preserve"> </w:t>
      </w:r>
      <w:r w:rsidR="00865B94">
        <w:t>just before the assessment</w:t>
      </w:r>
      <w:r w:rsidR="0023308D">
        <w:t>.</w:t>
      </w:r>
      <w:r w:rsidR="009C42D9">
        <w:t xml:space="preserve"> The third column shows the reports </w:t>
      </w:r>
      <w:r w:rsidR="0098624A">
        <w:t xml:space="preserve">roughly </w:t>
      </w:r>
      <w:r w:rsidR="009C42D9">
        <w:t xml:space="preserve">one year </w:t>
      </w:r>
      <w:r w:rsidR="0098624A">
        <w:t>after the assessment</w:t>
      </w:r>
      <w:r w:rsidR="00D968CC">
        <w:t>. T</w:t>
      </w:r>
      <w:r w:rsidR="009C42D9">
        <w:t xml:space="preserve">he hormone treatment </w:t>
      </w:r>
      <w:r w:rsidR="00B9776A">
        <w:t>occurs 1 month (for suicidal thoughts) or 3 months (for suicide attempts and self-injury)</w:t>
      </w:r>
      <w:r w:rsidR="00D968CC">
        <w:t xml:space="preserve"> after the initial assessment.</w:t>
      </w:r>
      <w:r w:rsidR="009F4F71">
        <w:t xml:space="preserve"> </w:t>
      </w:r>
      <w:r w:rsidR="009F4F71">
        <w:lastRenderedPageBreak/>
        <w:t>T</w:t>
      </w:r>
      <w:r w:rsidR="005B53AF">
        <w:t xml:space="preserve">he chart shows that suicidal thoughts increased from 25% to 38% </w:t>
      </w:r>
      <w:r w:rsidR="001D708D">
        <w:t xml:space="preserve">after the treatment began. </w:t>
      </w:r>
      <w:r w:rsidR="0060689C">
        <w:t xml:space="preserve">Suicide attempts increased </w:t>
      </w:r>
      <w:r w:rsidR="00E14C99">
        <w:t>2½ times</w:t>
      </w:r>
      <w:r w:rsidR="00E57428">
        <w:t xml:space="preserve"> and self-injury increased from 10% to 17% in th</w:t>
      </w:r>
      <w:r w:rsidR="0085644D">
        <w:t>at time.</w:t>
      </w:r>
    </w:p>
    <w:p w14:paraId="63F71801" w14:textId="054243F3" w:rsidR="00183904" w:rsidRDefault="00965E9B" w:rsidP="00BD63A3">
      <w:pPr>
        <w:pStyle w:val="ListParagraph"/>
        <w:numPr>
          <w:ilvl w:val="0"/>
          <w:numId w:val="45"/>
        </w:numPr>
        <w:spacing w:line="320" w:lineRule="exact"/>
      </w:pPr>
      <w:r>
        <w:t xml:space="preserve">A similar chart in the </w:t>
      </w:r>
      <w:r w:rsidR="00056429">
        <w:t xml:space="preserve">article itself </w:t>
      </w:r>
      <w:r w:rsidR="00386BE5">
        <w:t xml:space="preserve">reports pre-assessment </w:t>
      </w:r>
      <w:r w:rsidR="00A41A00">
        <w:t>suicidal thoughts in 25% of the sample and 38% at follow-u</w:t>
      </w:r>
      <w:r w:rsidR="00BF0816">
        <w:t xml:space="preserve">p, pre-assessment suicide attempts </w:t>
      </w:r>
      <w:r w:rsidR="00587A9C">
        <w:t>in 2% and 5% at follow-up</w:t>
      </w:r>
      <w:r w:rsidR="002011D9">
        <w:t>, pre-assessment self-injury in 10% pre-assessment and 17% at follow-up.</w:t>
      </w:r>
    </w:p>
    <w:p w14:paraId="123B2543" w14:textId="5628C7BA" w:rsidR="00174B90" w:rsidRDefault="00805D96" w:rsidP="00174B90">
      <w:pPr>
        <w:spacing w:line="320" w:lineRule="exact"/>
      </w:pPr>
      <w:r>
        <w:rPr>
          <w:noProof/>
        </w:rPr>
        <w:drawing>
          <wp:anchor distT="0" distB="0" distL="114300" distR="114300" simplePos="0" relativeHeight="251658240" behindDoc="1" locked="0" layoutInCell="1" allowOverlap="1" wp14:anchorId="6EBD0987" wp14:editId="11EE6551">
            <wp:simplePos x="0" y="0"/>
            <wp:positionH relativeFrom="margin">
              <wp:posOffset>-3810</wp:posOffset>
            </wp:positionH>
            <wp:positionV relativeFrom="paragraph">
              <wp:posOffset>385445</wp:posOffset>
            </wp:positionV>
            <wp:extent cx="6126480" cy="3390900"/>
            <wp:effectExtent l="0" t="0" r="7620" b="0"/>
            <wp:wrapTight wrapText="bothSides">
              <wp:wrapPolygon edited="0">
                <wp:start x="0" y="0"/>
                <wp:lineTo x="0" y="21479"/>
                <wp:lineTo x="21560" y="21479"/>
                <wp:lineTo x="21560" y="0"/>
                <wp:lineTo x="0" y="0"/>
              </wp:wrapPolygon>
            </wp:wrapTight>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shot of a cell phone&#10;&#10;Description automatically generated"/>
                    <pic:cNvPicPr>
                      <a:picLocks noChangeAspect="1" noChangeArrowheads="1"/>
                    </pic:cNvPicPr>
                  </pic:nvPicPr>
                  <pic:blipFill rotWithShape="1">
                    <a:blip r:embed="rId9" r:link="rId10" cstate="print">
                      <a:extLst>
                        <a:ext uri="{28A0092B-C50C-407E-A947-70E740481C1C}">
                          <a14:useLocalDpi xmlns:a14="http://schemas.microsoft.com/office/drawing/2010/main" val="0"/>
                        </a:ext>
                      </a:extLst>
                    </a:blip>
                    <a:srcRect t="8617" b="8455"/>
                    <a:stretch/>
                  </pic:blipFill>
                  <pic:spPr bwMode="auto">
                    <a:xfrm>
                      <a:off x="0" y="0"/>
                      <a:ext cx="6126480" cy="33909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CBA76F4" w14:textId="225CB11E" w:rsidR="00174B90" w:rsidRDefault="00174B90" w:rsidP="00174B90">
      <w:pPr>
        <w:spacing w:line="320" w:lineRule="exact"/>
      </w:pPr>
    </w:p>
    <w:p w14:paraId="348CB194" w14:textId="35702833" w:rsidR="00174B90" w:rsidRPr="00DF7788" w:rsidRDefault="00DF7788" w:rsidP="00174B90">
      <w:pPr>
        <w:spacing w:line="320" w:lineRule="exact"/>
        <w:rPr>
          <w:u w:val="single"/>
        </w:rPr>
      </w:pPr>
      <w:r w:rsidRPr="00DF7788">
        <w:rPr>
          <w:u w:val="single"/>
        </w:rPr>
        <w:t>Costa Study</w:t>
      </w:r>
    </w:p>
    <w:p w14:paraId="2AC30578" w14:textId="16B5A2D7" w:rsidR="00DF7788" w:rsidRDefault="00DF7788" w:rsidP="00174B90">
      <w:pPr>
        <w:spacing w:line="320" w:lineRule="exact"/>
      </w:pPr>
    </w:p>
    <w:p w14:paraId="5134C834" w14:textId="1E5C5C33" w:rsidR="00DF7788" w:rsidRDefault="00DF7788" w:rsidP="00174B90">
      <w:pPr>
        <w:spacing w:line="320" w:lineRule="exact"/>
      </w:pPr>
      <w:r>
        <w:t xml:space="preserve">A 2015 study claimed </w:t>
      </w:r>
      <w:r w:rsidR="006429CC">
        <w:t xml:space="preserve">that adolescents who received </w:t>
      </w:r>
      <w:r w:rsidR="00846B60">
        <w:t xml:space="preserve">psychological support and puberty suppression </w:t>
      </w:r>
      <w:r w:rsidR="00A924BA">
        <w:t>“</w:t>
      </w:r>
      <w:r w:rsidR="00A924BA" w:rsidRPr="00A924BA">
        <w:t>had significantly better psychosocial functioning after 12 months of</w:t>
      </w:r>
      <w:r w:rsidR="00A924BA">
        <w:t xml:space="preserve">” </w:t>
      </w:r>
      <w:r w:rsidR="00285AE8">
        <w:t>puberty blockers than those who received only psychological help.</w:t>
      </w:r>
      <w:r w:rsidR="00285AE8">
        <w:rPr>
          <w:rStyle w:val="EndnoteReference"/>
        </w:rPr>
        <w:endnoteReference w:id="27"/>
      </w:r>
      <w:r w:rsidR="00285AE8">
        <w:t xml:space="preserve"> </w:t>
      </w:r>
      <w:r w:rsidR="00E53F1B">
        <w:t>Dr. Michael Bigg</w:t>
      </w:r>
      <w:r w:rsidR="00984D14">
        <w:t>s, who critiqued the Turban study, also examined this one</w:t>
      </w:r>
      <w:r w:rsidR="00D2619F">
        <w:t>.</w:t>
      </w:r>
      <w:r w:rsidR="00D2619F">
        <w:rPr>
          <w:rStyle w:val="EndnoteReference"/>
        </w:rPr>
        <w:endnoteReference w:id="28"/>
      </w:r>
      <w:r w:rsidR="00D2619F">
        <w:t xml:space="preserve"> He first noted</w:t>
      </w:r>
      <w:r w:rsidR="00984D14">
        <w:t xml:space="preserve"> that the original sample included 201 participants but most respondents did not complete the study so that the final sample included </w:t>
      </w:r>
      <w:r w:rsidR="000E3419">
        <w:t xml:space="preserve">only </w:t>
      </w:r>
      <w:r w:rsidR="00984D14">
        <w:t>71</w:t>
      </w:r>
      <w:r w:rsidR="000E3419">
        <w:t xml:space="preserve"> youth</w:t>
      </w:r>
      <w:r w:rsidR="00984D14">
        <w:t>.</w:t>
      </w:r>
      <w:r w:rsidR="000E3419">
        <w:t xml:space="preserve"> </w:t>
      </w:r>
      <w:r w:rsidR="0010520D">
        <w:t>Some of these received puberty blockers</w:t>
      </w:r>
      <w:r w:rsidR="0045064F">
        <w:t xml:space="preserve"> and the </w:t>
      </w:r>
      <w:r w:rsidR="00730181">
        <w:t>rest</w:t>
      </w:r>
      <w:r w:rsidR="0045064F">
        <w:t xml:space="preserve"> did not (this latter group was the comparison)</w:t>
      </w:r>
      <w:r w:rsidR="0010520D">
        <w:t xml:space="preserve">. </w:t>
      </w:r>
      <w:r w:rsidR="001650E8">
        <w:t xml:space="preserve">Those in the comparison group did not receive puberty blockers </w:t>
      </w:r>
      <w:r w:rsidR="00303D6E">
        <w:t>because they needed “more time due to ‘possible comorbid psychiatric problems</w:t>
      </w:r>
      <w:r w:rsidR="00AB358B">
        <w:t xml:space="preserve"> and/or psychological difficulties.’”</w:t>
      </w:r>
      <w:r w:rsidR="00730181">
        <w:t xml:space="preserve"> </w:t>
      </w:r>
      <w:r w:rsidR="0034506B">
        <w:t>Both groups wer</w:t>
      </w:r>
      <w:r w:rsidR="00C8756B">
        <w:t xml:space="preserve">e measured on the </w:t>
      </w:r>
      <w:r w:rsidR="00B12A6B">
        <w:t xml:space="preserve">Children’s Global Assessment Scale and the group that received </w:t>
      </w:r>
      <w:r w:rsidR="008977A7">
        <w:t>psychological help and puberty blockers showed a statistically significant improvement in their score, which the study highlighted. The study, however, did not highlight</w:t>
      </w:r>
      <w:r w:rsidR="004F48C0">
        <w:t xml:space="preserve"> the change in score for the comparison group. This group scored lower than the main group which would be expected because they had been </w:t>
      </w:r>
      <w:r w:rsidR="001B667F">
        <w:t>placed in the comparison group</w:t>
      </w:r>
      <w:r w:rsidR="004F48C0">
        <w:t xml:space="preserve"> because they had more preexisting psychiatric or </w:t>
      </w:r>
      <w:r w:rsidR="001B667F">
        <w:lastRenderedPageBreak/>
        <w:t>psychological problems</w:t>
      </w:r>
      <w:r w:rsidR="005C2EA3">
        <w:t xml:space="preserve">. </w:t>
      </w:r>
      <w:r w:rsidR="00920AD8">
        <w:t xml:space="preserve">When comparing the two groups (those who received puberty blockers and those who did not), the </w:t>
      </w:r>
      <w:r w:rsidR="00EC3862">
        <w:t xml:space="preserve">difference in scores was not statistically significant. So, the study could not show that the </w:t>
      </w:r>
      <w:r w:rsidR="007B40AE">
        <w:t>main sample was better off because of the hormones.</w:t>
      </w:r>
    </w:p>
    <w:p w14:paraId="5849E02D" w14:textId="7FE8D3AE" w:rsidR="00A60B5D" w:rsidRDefault="00A60B5D" w:rsidP="00174B90">
      <w:pPr>
        <w:spacing w:line="320" w:lineRule="exact"/>
      </w:pPr>
    </w:p>
    <w:p w14:paraId="220DC80D" w14:textId="1F410652" w:rsidR="00A60B5D" w:rsidRPr="00A60B5D" w:rsidRDefault="00A60B5D" w:rsidP="00174B90">
      <w:pPr>
        <w:spacing w:line="320" w:lineRule="exact"/>
        <w:rPr>
          <w:u w:val="single"/>
        </w:rPr>
      </w:pPr>
      <w:proofErr w:type="spellStart"/>
      <w:r w:rsidRPr="00A60B5D">
        <w:rPr>
          <w:u w:val="single"/>
        </w:rPr>
        <w:t>Jellestad</w:t>
      </w:r>
      <w:proofErr w:type="spellEnd"/>
      <w:r w:rsidRPr="00A60B5D">
        <w:rPr>
          <w:u w:val="single"/>
        </w:rPr>
        <w:t xml:space="preserve"> Studies</w:t>
      </w:r>
    </w:p>
    <w:p w14:paraId="1C9C304A" w14:textId="50BFD1D6" w:rsidR="00A60B5D" w:rsidRDefault="003B27CB" w:rsidP="00174B90">
      <w:pPr>
        <w:spacing w:line="320" w:lineRule="exact"/>
      </w:pPr>
      <w:r>
        <w:t xml:space="preserve">A 2018 study </w:t>
      </w:r>
      <w:r w:rsidR="000A52F3">
        <w:t>from Switzerland involved a sample of self-selected participants</w:t>
      </w:r>
      <w:r w:rsidR="006C344D">
        <w:t xml:space="preserve"> </w:t>
      </w:r>
      <w:r w:rsidR="00CF1826">
        <w:t xml:space="preserve">who had gone to </w:t>
      </w:r>
      <w:r w:rsidR="00596DE1">
        <w:t>t</w:t>
      </w:r>
      <w:r w:rsidR="00A51076">
        <w:t xml:space="preserve">he participating clinics for </w:t>
      </w:r>
      <w:r w:rsidR="00FE63D5">
        <w:t>treatment or who were recruited by activist groups</w:t>
      </w:r>
      <w:r w:rsidR="00D71555">
        <w:t>.</w:t>
      </w:r>
      <w:r w:rsidR="008733BE">
        <w:rPr>
          <w:rStyle w:val="EndnoteReference"/>
        </w:rPr>
        <w:endnoteReference w:id="29"/>
      </w:r>
      <w:r w:rsidR="00D71555">
        <w:t xml:space="preserve"> All were adults and </w:t>
      </w:r>
      <w:r w:rsidR="00ED285B">
        <w:t xml:space="preserve">the study </w:t>
      </w:r>
      <w:r w:rsidR="0075433C">
        <w:t>was intended to determine if “gender affirming</w:t>
      </w:r>
      <w:r w:rsidR="00E66D9F">
        <w:t xml:space="preserve"> interventions” (hormone treatment or surgery meant to change the person’s appearance to that of the opp</w:t>
      </w:r>
      <w:r w:rsidR="004C432E">
        <w:t xml:space="preserve">osite sex) affected a respondent’s </w:t>
      </w:r>
      <w:r w:rsidR="0061670C">
        <w:t>“</w:t>
      </w:r>
      <w:r w:rsidR="00D71555">
        <w:t>quality of life</w:t>
      </w:r>
      <w:r w:rsidR="00ED285B">
        <w:t>”</w:t>
      </w:r>
      <w:r w:rsidR="00D71555">
        <w:t xml:space="preserve"> was</w:t>
      </w:r>
      <w:r w:rsidR="00213290">
        <w:t xml:space="preserve"> determined by self</w:t>
      </w:r>
      <w:r w:rsidR="0061670C">
        <w:t>-</w:t>
      </w:r>
      <w:r w:rsidR="00213290">
        <w:t xml:space="preserve">reports. </w:t>
      </w:r>
      <w:r w:rsidR="00F94364">
        <w:t xml:space="preserve">574 participants were contacted but only </w:t>
      </w:r>
      <w:r w:rsidR="00946B19">
        <w:t xml:space="preserve">143 responded to the survey. </w:t>
      </w:r>
      <w:r w:rsidR="00B47D18">
        <w:t>Far m</w:t>
      </w:r>
      <w:r w:rsidR="005A6C92">
        <w:t xml:space="preserve">ore of the respondents were men than women </w:t>
      </w:r>
      <w:r w:rsidR="009E256B">
        <w:t>though this is contrary to current trends</w:t>
      </w:r>
      <w:r w:rsidR="00B47D18">
        <w:t>.</w:t>
      </w:r>
    </w:p>
    <w:p w14:paraId="297BE3DF" w14:textId="56EA388D" w:rsidR="002F64E6" w:rsidRDefault="002F64E6" w:rsidP="00174B90">
      <w:pPr>
        <w:spacing w:line="320" w:lineRule="exact"/>
      </w:pPr>
    </w:p>
    <w:p w14:paraId="72884AAB" w14:textId="23374CE7" w:rsidR="002F64E6" w:rsidRDefault="002F64E6" w:rsidP="00174B90">
      <w:pPr>
        <w:spacing w:line="320" w:lineRule="exact"/>
      </w:pPr>
      <w:r>
        <w:t>Signi</w:t>
      </w:r>
      <w:r w:rsidR="00192026">
        <w:t xml:space="preserve">ficantly, there was no baseline measure used so there is no way of knowing </w:t>
      </w:r>
      <w:r w:rsidR="00D35581">
        <w:t xml:space="preserve">what affect the transgender procedures might have had. </w:t>
      </w:r>
      <w:r w:rsidR="00AF23B1">
        <w:t xml:space="preserve">Also, </w:t>
      </w:r>
      <w:r w:rsidR="00A37D30">
        <w:t xml:space="preserve">there was no comparison to </w:t>
      </w:r>
      <w:r w:rsidR="00CD341D">
        <w:t>people who did not undergo treatment.</w:t>
      </w:r>
    </w:p>
    <w:p w14:paraId="1B8E0C91" w14:textId="3384D791" w:rsidR="00CD341D" w:rsidRDefault="00CD341D" w:rsidP="00174B90">
      <w:pPr>
        <w:spacing w:line="320" w:lineRule="exact"/>
      </w:pPr>
    </w:p>
    <w:p w14:paraId="0A4E94B2" w14:textId="4403617D" w:rsidR="00CD341D" w:rsidRDefault="009C00F2" w:rsidP="009C00F2">
      <w:pPr>
        <w:spacing w:line="320" w:lineRule="exact"/>
      </w:pPr>
      <w:r>
        <w:t xml:space="preserve">The study found: “Compared to the general population, these findings indicate poor quality of life in trans persons who had performed those medical interventions.” </w:t>
      </w:r>
      <w:r w:rsidR="00A14A05">
        <w:t xml:space="preserve">The authors admitted </w:t>
      </w:r>
      <w:r w:rsidR="00A14A05" w:rsidRPr="00A14A05">
        <w:t>“we did not find significant correlations between GAI [gender affirming interventions] and QoL [quality of life]</w:t>
      </w:r>
      <w:r w:rsidR="008733BE">
        <w:t>.</w:t>
      </w:r>
      <w:r w:rsidR="00A14A05" w:rsidRPr="00A14A05">
        <w:t>”</w:t>
      </w:r>
    </w:p>
    <w:p w14:paraId="340E0603" w14:textId="190963DB" w:rsidR="0027431D" w:rsidRDefault="0027431D" w:rsidP="00174B90">
      <w:pPr>
        <w:spacing w:line="320" w:lineRule="exact"/>
      </w:pPr>
    </w:p>
    <w:p w14:paraId="184875F8" w14:textId="37E8DD68" w:rsidR="0027431D" w:rsidRPr="0027431D" w:rsidRDefault="0027431D" w:rsidP="00174B90">
      <w:pPr>
        <w:spacing w:line="320" w:lineRule="exact"/>
        <w:rPr>
          <w:u w:val="single"/>
        </w:rPr>
      </w:pPr>
      <w:r w:rsidRPr="0027431D">
        <w:rPr>
          <w:u w:val="single"/>
        </w:rPr>
        <w:t>Olson Studies</w:t>
      </w:r>
    </w:p>
    <w:p w14:paraId="7B82AE6D" w14:textId="5F6A8F05" w:rsidR="0027431D" w:rsidRDefault="0027431D" w:rsidP="00174B90">
      <w:pPr>
        <w:spacing w:line="320" w:lineRule="exact"/>
      </w:pPr>
    </w:p>
    <w:p w14:paraId="4B12DD8F" w14:textId="77777777" w:rsidR="004B4253" w:rsidRDefault="00E1438D" w:rsidP="00174B90">
      <w:pPr>
        <w:spacing w:line="320" w:lineRule="exact"/>
      </w:pPr>
      <w:r>
        <w:t xml:space="preserve">A 2016 study </w:t>
      </w:r>
      <w:r w:rsidR="00242633">
        <w:t xml:space="preserve">claimed to find that children who were supported in their gender-identity, as distinct from their biological sex, </w:t>
      </w:r>
      <w:r w:rsidR="005F07BB">
        <w:t xml:space="preserve">have </w:t>
      </w:r>
      <w:r w:rsidR="00DD7BD7">
        <w:t>“</w:t>
      </w:r>
      <w:r w:rsidR="005F07BB" w:rsidRPr="005F07BB">
        <w:t>developmentally normative levels of depression and only minimal elevations in anxiety</w:t>
      </w:r>
      <w:r w:rsidR="005F07BB">
        <w:t xml:space="preserve">” </w:t>
      </w:r>
      <w:r w:rsidR="005E02F2">
        <w:t>and “</w:t>
      </w:r>
      <w:r w:rsidR="005F07BB" w:rsidRPr="005F07BB">
        <w:t>have notably lower rates of internalizing psychopathology than previously reported among children with GID</w:t>
      </w:r>
      <w:r w:rsidR="005E02F2">
        <w:t xml:space="preserve"> [gender identity disorder]</w:t>
      </w:r>
      <w:r w:rsidR="005F07BB" w:rsidRPr="005F07BB">
        <w:t xml:space="preserve"> living as their natal sex.</w:t>
      </w:r>
      <w:r w:rsidR="00832A4F">
        <w:t>”</w:t>
      </w:r>
      <w:r w:rsidR="00832A4F">
        <w:rPr>
          <w:rStyle w:val="EndnoteReference"/>
        </w:rPr>
        <w:endnoteReference w:id="30"/>
      </w:r>
      <w:r w:rsidR="00832A4F">
        <w:t xml:space="preserve"> </w:t>
      </w:r>
      <w:r w:rsidR="00E6684F">
        <w:t xml:space="preserve">They compared </w:t>
      </w:r>
      <w:r w:rsidR="00800195">
        <w:t xml:space="preserve">73 children </w:t>
      </w:r>
      <w:r w:rsidR="003F1FE0">
        <w:t xml:space="preserve">whose parents had supported their “transitioning” </w:t>
      </w:r>
      <w:r w:rsidR="004E6F07">
        <w:t xml:space="preserve">with </w:t>
      </w:r>
      <w:r w:rsidR="00B36376">
        <w:t xml:space="preserve">a group </w:t>
      </w:r>
      <w:r w:rsidR="00331FDF">
        <w:t>of their siblings and 73 children who were not transgender</w:t>
      </w:r>
      <w:r w:rsidR="00755BBB">
        <w:t xml:space="preserve"> on measures of </w:t>
      </w:r>
      <w:r w:rsidR="0099799A">
        <w:t>anxiety and depression as reported by the children’s</w:t>
      </w:r>
      <w:r w:rsidR="007D33BC">
        <w:t xml:space="preserve"> </w:t>
      </w:r>
      <w:r w:rsidR="00D80F0D">
        <w:t>parents.</w:t>
      </w:r>
      <w:r w:rsidR="00B63A06">
        <w:t xml:space="preserve"> </w:t>
      </w:r>
    </w:p>
    <w:p w14:paraId="4D77FA32" w14:textId="77777777" w:rsidR="004B4253" w:rsidRDefault="004B4253" w:rsidP="00174B90">
      <w:pPr>
        <w:spacing w:line="320" w:lineRule="exact"/>
      </w:pPr>
    </w:p>
    <w:p w14:paraId="15FDA3BC" w14:textId="54491A2F" w:rsidR="0027431D" w:rsidRDefault="00125E87" w:rsidP="00174B90">
      <w:pPr>
        <w:spacing w:line="320" w:lineRule="exact"/>
      </w:pPr>
      <w:r>
        <w:t xml:space="preserve">The same authors then published another study the next year </w:t>
      </w:r>
      <w:r w:rsidR="00853FF3">
        <w:t xml:space="preserve">comparing </w:t>
      </w:r>
      <w:r w:rsidR="00E33647">
        <w:t xml:space="preserve">(1) </w:t>
      </w:r>
      <w:r w:rsidR="00B04810">
        <w:t xml:space="preserve">63 </w:t>
      </w:r>
      <w:r w:rsidR="00E33647">
        <w:t xml:space="preserve">“transgender” </w:t>
      </w:r>
      <w:r w:rsidR="00B04810">
        <w:t xml:space="preserve">children </w:t>
      </w:r>
      <w:r w:rsidR="003E17AD">
        <w:t xml:space="preserve">(some from the prior group) with a control group, this time measuring </w:t>
      </w:r>
      <w:r w:rsidR="00771018">
        <w:t xml:space="preserve">self and parent reports </w:t>
      </w:r>
      <w:r w:rsidR="00B56412">
        <w:t>of depression and anxiety</w:t>
      </w:r>
      <w:r w:rsidR="00E33647">
        <w:t>, and (2)</w:t>
      </w:r>
      <w:r w:rsidR="00717176">
        <w:t xml:space="preserve"> 116 “transgender” children </w:t>
      </w:r>
      <w:r w:rsidR="00833162">
        <w:t xml:space="preserve">with a control </w:t>
      </w:r>
      <w:r w:rsidR="00C865C4">
        <w:t>group, on measures of self-worth.</w:t>
      </w:r>
      <w:r w:rsidR="005245F7">
        <w:rPr>
          <w:rStyle w:val="EndnoteReference"/>
        </w:rPr>
        <w:endnoteReference w:id="31"/>
      </w:r>
    </w:p>
    <w:p w14:paraId="673F0AE9" w14:textId="1EEC0C15" w:rsidR="00D03785" w:rsidRDefault="00D03785" w:rsidP="00174B90">
      <w:pPr>
        <w:spacing w:line="320" w:lineRule="exact"/>
      </w:pPr>
    </w:p>
    <w:p w14:paraId="60985027" w14:textId="1E9F5EE2" w:rsidR="00D03785" w:rsidRDefault="006B1C96" w:rsidP="00174B90">
      <w:pPr>
        <w:spacing w:line="320" w:lineRule="exact"/>
      </w:pPr>
      <w:r>
        <w:t>1</w:t>
      </w:r>
      <w:r w:rsidRPr="006B1C96">
        <w:rPr>
          <w:vertAlign w:val="superscript"/>
        </w:rPr>
        <w:t>st</w:t>
      </w:r>
      <w:r>
        <w:t xml:space="preserve"> study</w:t>
      </w:r>
      <w:r w:rsidR="00125A32">
        <w:t xml:space="preserve">: </w:t>
      </w:r>
      <w:r w:rsidR="00D03785">
        <w:t xml:space="preserve">nearly </w:t>
      </w:r>
      <w:r w:rsidR="00D478B7">
        <w:t xml:space="preserve">a third of the children </w:t>
      </w:r>
      <w:r w:rsidR="005C70D0">
        <w:t xml:space="preserve">were so young that </w:t>
      </w:r>
      <w:r w:rsidR="00887CA8">
        <w:t>“</w:t>
      </w:r>
      <w:r w:rsidR="005C70D0">
        <w:t>the measures used wer</w:t>
      </w:r>
      <w:r w:rsidR="00887CA8">
        <w:t>e not validated for” their age group</w:t>
      </w:r>
    </w:p>
    <w:p w14:paraId="24CB357D" w14:textId="39FF38F0" w:rsidR="006205F8" w:rsidRDefault="006205F8" w:rsidP="00174B90">
      <w:pPr>
        <w:spacing w:line="320" w:lineRule="exact"/>
      </w:pPr>
      <w:r>
        <w:t>2</w:t>
      </w:r>
      <w:r w:rsidRPr="006205F8">
        <w:rPr>
          <w:vertAlign w:val="superscript"/>
        </w:rPr>
        <w:t>nd</w:t>
      </w:r>
      <w:r>
        <w:t xml:space="preserve"> study: </w:t>
      </w:r>
      <w:r w:rsidR="00201476">
        <w:t xml:space="preserve">“scores for children from higher income families were not </w:t>
      </w:r>
      <w:r w:rsidR="006A4A64">
        <w:t>reported”</w:t>
      </w:r>
    </w:p>
    <w:p w14:paraId="0F38262F" w14:textId="1BEFBD8B" w:rsidR="00E94AA7" w:rsidRDefault="00E94AA7" w:rsidP="00174B90">
      <w:pPr>
        <w:spacing w:line="320" w:lineRule="exact"/>
      </w:pPr>
    </w:p>
    <w:p w14:paraId="01C29686" w14:textId="72825E34" w:rsidR="00322704" w:rsidRDefault="00283A78" w:rsidP="00174B90">
      <w:pPr>
        <w:spacing w:line="320" w:lineRule="exact"/>
      </w:pPr>
      <w:r>
        <w:t xml:space="preserve">In 2020, </w:t>
      </w:r>
      <w:r w:rsidR="00087758">
        <w:t xml:space="preserve">two researchers reexamined the raw data </w:t>
      </w:r>
      <w:r w:rsidR="0041560F">
        <w:t>from these studies.</w:t>
      </w:r>
      <w:r w:rsidR="00753411">
        <w:rPr>
          <w:rStyle w:val="EndnoteReference"/>
        </w:rPr>
        <w:endnoteReference w:id="32"/>
      </w:r>
      <w:r w:rsidR="002244B9">
        <w:t xml:space="preserve"> </w:t>
      </w:r>
      <w:r w:rsidR="00937513">
        <w:t xml:space="preserve">They found that </w:t>
      </w:r>
      <w:r w:rsidR="00D0414F">
        <w:t xml:space="preserve">“most of the results with respect to depression favored cisgender </w:t>
      </w:r>
      <w:r w:rsidR="00787B3E">
        <w:t xml:space="preserve">[the control group] </w:t>
      </w:r>
      <w:r w:rsidR="00D0414F">
        <w:t>children</w:t>
      </w:r>
      <w:r w:rsidR="00C677D1">
        <w:t>,</w:t>
      </w:r>
      <w:r w:rsidR="00280648">
        <w:t>”</w:t>
      </w:r>
      <w:r w:rsidR="00C677D1">
        <w:t xml:space="preserve"> </w:t>
      </w:r>
      <w:r w:rsidR="005B08A1">
        <w:t>“[a]</w:t>
      </w:r>
      <w:proofErr w:type="spellStart"/>
      <w:r w:rsidR="005B08A1">
        <w:t>nxiety</w:t>
      </w:r>
      <w:proofErr w:type="spellEnd"/>
      <w:r w:rsidR="005B08A1">
        <w:t xml:space="preserve"> ou</w:t>
      </w:r>
      <w:r w:rsidR="00B81CDB">
        <w:t xml:space="preserve">tcomes </w:t>
      </w:r>
      <w:r w:rsidR="0068623D">
        <w:t xml:space="preserve">were mostly </w:t>
      </w:r>
      <w:r w:rsidR="000E1F57">
        <w:t>in favor or cisgender children” and “</w:t>
      </w:r>
      <w:r w:rsidR="00EA5778">
        <w:t>[</w:t>
      </w:r>
      <w:proofErr w:type="spellStart"/>
      <w:r w:rsidR="00EA5778">
        <w:t>i</w:t>
      </w:r>
      <w:proofErr w:type="spellEnd"/>
      <w:r w:rsidR="00EA5778">
        <w:t>]n terms of self-worth</w:t>
      </w:r>
      <w:r w:rsidR="00762AF9">
        <w:t xml:space="preserve">, </w:t>
      </w:r>
      <w:r w:rsidR="000E1F57">
        <w:t>all of the results</w:t>
      </w:r>
      <w:r w:rsidR="00762AF9">
        <w:t xml:space="preserve"> </w:t>
      </w:r>
      <w:r w:rsidR="00843D1C">
        <w:t xml:space="preserve">favored cisgender </w:t>
      </w:r>
      <w:r w:rsidR="00440D1E">
        <w:t>children.”</w:t>
      </w:r>
      <w:r w:rsidR="00A87B45">
        <w:t xml:space="preserve"> The authors point out that the results of the studies “should have been interpreted as evidence that even with high levels of parental support</w:t>
      </w:r>
      <w:r w:rsidR="00B507F2">
        <w:t>, transgender children have lower levels or mental health</w:t>
      </w:r>
      <w:r w:rsidR="00F74E83">
        <w:t xml:space="preserve">, especially with </w:t>
      </w:r>
      <w:r w:rsidR="00D8154C">
        <w:t xml:space="preserve">respect to higher levels </w:t>
      </w:r>
      <w:r w:rsidR="0076486B">
        <w:t>of anxiety</w:t>
      </w:r>
      <w:r w:rsidR="00C72AD6">
        <w:t xml:space="preserve"> and lower levels of self-w</w:t>
      </w:r>
      <w:r w:rsidR="00AF7770">
        <w:t>orth, though marginally with respect to depression.”</w:t>
      </w:r>
    </w:p>
    <w:p w14:paraId="0E64D5BF" w14:textId="2AC1B2B2" w:rsidR="001A4D69" w:rsidRDefault="001A4D69" w:rsidP="00174B90">
      <w:pPr>
        <w:spacing w:line="320" w:lineRule="exact"/>
      </w:pPr>
    </w:p>
    <w:p w14:paraId="63F12DF4" w14:textId="70433CCD" w:rsidR="001A4D69" w:rsidRPr="001A4D69" w:rsidRDefault="001A4D69" w:rsidP="00174B90">
      <w:pPr>
        <w:spacing w:line="320" w:lineRule="exact"/>
        <w:rPr>
          <w:u w:val="single"/>
        </w:rPr>
      </w:pPr>
      <w:proofErr w:type="spellStart"/>
      <w:r w:rsidRPr="001A4D69">
        <w:rPr>
          <w:u w:val="single"/>
        </w:rPr>
        <w:t>Weinforth</w:t>
      </w:r>
      <w:proofErr w:type="spellEnd"/>
      <w:r w:rsidRPr="001A4D69">
        <w:rPr>
          <w:u w:val="single"/>
        </w:rPr>
        <w:t xml:space="preserve"> Meta-Study</w:t>
      </w:r>
    </w:p>
    <w:p w14:paraId="5E807251" w14:textId="00AE725C" w:rsidR="001A4D69" w:rsidRDefault="001A4D69" w:rsidP="00174B90">
      <w:pPr>
        <w:spacing w:line="320" w:lineRule="exact"/>
      </w:pPr>
    </w:p>
    <w:p w14:paraId="3F65DA3C" w14:textId="270670E0" w:rsidR="001A4D69" w:rsidRDefault="001A4D69" w:rsidP="00174B90">
      <w:pPr>
        <w:spacing w:line="320" w:lineRule="exact"/>
      </w:pPr>
      <w:r>
        <w:t xml:space="preserve">Notably, in 2019, </w:t>
      </w:r>
      <w:r w:rsidR="00FC188B">
        <w:t xml:space="preserve">four Swiss doctors </w:t>
      </w:r>
      <w:r w:rsidR="004A6030">
        <w:t>published a meta-study to look at the research on outcomes of surgery to change the appearance men to resemble women</w:t>
      </w:r>
      <w:r w:rsidR="00201920">
        <w:t>.</w:t>
      </w:r>
      <w:r w:rsidR="00B665FB">
        <w:rPr>
          <w:rStyle w:val="EndnoteReference"/>
        </w:rPr>
        <w:endnoteReference w:id="33"/>
      </w:r>
      <w:r w:rsidR="00201920">
        <w:t xml:space="preserve"> The researchers found 13 studies to include. They admit that none involved random samples. </w:t>
      </w:r>
      <w:r w:rsidR="00F722CA">
        <w:t xml:space="preserve">The studies had </w:t>
      </w:r>
      <w:proofErr w:type="gramStart"/>
      <w:r w:rsidR="00F722CA">
        <w:t>very small</w:t>
      </w:r>
      <w:proofErr w:type="gramEnd"/>
      <w:r w:rsidR="00F722CA">
        <w:t xml:space="preserve"> samples, the largest was </w:t>
      </w:r>
      <w:r w:rsidR="00C1093C">
        <w:t>72</w:t>
      </w:r>
      <w:r w:rsidR="00F722CA">
        <w:t xml:space="preserve"> and the smallest was </w:t>
      </w:r>
      <w:r w:rsidR="00C1093C">
        <w:t xml:space="preserve">3. </w:t>
      </w:r>
      <w:r w:rsidR="00404022">
        <w:t xml:space="preserve">Only 9 studies reported the dropout rate and </w:t>
      </w:r>
      <w:r w:rsidR="00826782">
        <w:t>most of these were extremely high</w:t>
      </w:r>
      <w:r w:rsidR="00B7172D">
        <w:t xml:space="preserve">. </w:t>
      </w:r>
      <w:r w:rsidR="00710C71">
        <w:t>The majority well over half (</w:t>
      </w:r>
      <w:r w:rsidR="007506C6">
        <w:t xml:space="preserve">77.37%, </w:t>
      </w:r>
      <w:r w:rsidR="00826782">
        <w:t xml:space="preserve">75.26%, </w:t>
      </w:r>
      <w:r w:rsidR="007506C6">
        <w:t xml:space="preserve">62.5%, 61.15%, </w:t>
      </w:r>
      <w:r w:rsidR="00B7172D">
        <w:t>55.56%</w:t>
      </w:r>
      <w:r w:rsidR="00710C71">
        <w:t>)</w:t>
      </w:r>
      <w:r w:rsidR="001024F7">
        <w:t xml:space="preserve">, and the other four were </w:t>
      </w:r>
      <w:r w:rsidR="00B7172D">
        <w:t xml:space="preserve">28.57%, </w:t>
      </w:r>
      <w:r w:rsidR="007506C6">
        <w:t xml:space="preserve">25%, </w:t>
      </w:r>
      <w:r w:rsidR="00826782">
        <w:t>20.51%, 11.76%</w:t>
      </w:r>
      <w:r w:rsidR="001024F7">
        <w:t>.</w:t>
      </w:r>
      <w:r w:rsidR="002B316B">
        <w:t xml:space="preserve"> Only two included a control group</w:t>
      </w:r>
      <w:r w:rsidR="00DD6C08">
        <w:t xml:space="preserve">. Only two followed the participants for more than </w:t>
      </w:r>
      <w:r w:rsidR="00421360">
        <w:t>3 years</w:t>
      </w:r>
      <w:r w:rsidR="00834F40">
        <w:t xml:space="preserve">. One of these was for 15 years </w:t>
      </w:r>
      <w:r w:rsidR="00B95A69">
        <w:t xml:space="preserve">and it found </w:t>
      </w:r>
      <w:r w:rsidR="00B95A69">
        <w:rPr>
          <w:iCs/>
        </w:rPr>
        <w:t>“significantly lower” quality in life and patient satisfaction among those who underwent surgery.</w:t>
      </w:r>
      <w:r w:rsidR="00B95A69">
        <w:rPr>
          <w:rStyle w:val="EndnoteReference"/>
          <w:iCs/>
        </w:rPr>
        <w:endnoteReference w:id="34"/>
      </w:r>
      <w:r w:rsidR="00B95A69">
        <w:rPr>
          <w:iCs/>
        </w:rPr>
        <w:t xml:space="preserve"> </w:t>
      </w:r>
      <w:r w:rsidR="001D3A5B">
        <w:rPr>
          <w:iCs/>
        </w:rPr>
        <w:t xml:space="preserve">Another followed participants for nearly 30 years but there were only </w:t>
      </w:r>
      <w:r w:rsidR="005073C8">
        <w:rPr>
          <w:iCs/>
        </w:rPr>
        <w:t>9 participants and the surgeries were reconstructive after a failed initial procedure</w:t>
      </w:r>
      <w:r w:rsidR="00096088">
        <w:rPr>
          <w:iCs/>
        </w:rPr>
        <w:t>.</w:t>
      </w:r>
      <w:r w:rsidR="00096088">
        <w:rPr>
          <w:rStyle w:val="EndnoteReference"/>
          <w:iCs/>
        </w:rPr>
        <w:endnoteReference w:id="35"/>
      </w:r>
    </w:p>
    <w:p w14:paraId="380709A9" w14:textId="77777777" w:rsidR="00DF7788" w:rsidRDefault="00DF7788" w:rsidP="00174B90">
      <w:pPr>
        <w:spacing w:line="320" w:lineRule="exact"/>
      </w:pPr>
    </w:p>
    <w:p w14:paraId="4138DF1E" w14:textId="5432BFB1" w:rsidR="004B3EEA" w:rsidRPr="004B3EEA" w:rsidRDefault="004B3EEA" w:rsidP="00CC313F">
      <w:pPr>
        <w:spacing w:line="320" w:lineRule="exact"/>
        <w:rPr>
          <w:u w:val="single"/>
        </w:rPr>
      </w:pPr>
      <w:r w:rsidRPr="004B3EEA">
        <w:rPr>
          <w:u w:val="single"/>
        </w:rPr>
        <w:t>Conclusion</w:t>
      </w:r>
    </w:p>
    <w:p w14:paraId="15E47DF1" w14:textId="77777777" w:rsidR="004B3EEA" w:rsidRDefault="004B3EEA" w:rsidP="00CC313F">
      <w:pPr>
        <w:spacing w:line="320" w:lineRule="exact"/>
      </w:pPr>
    </w:p>
    <w:p w14:paraId="694E12EC" w14:textId="3529480E" w:rsidR="00174B90" w:rsidRDefault="00403EA4" w:rsidP="00CC313F">
      <w:pPr>
        <w:spacing w:line="320" w:lineRule="exact"/>
      </w:pPr>
      <w:r>
        <w:t>In short, t</w:t>
      </w:r>
      <w:r w:rsidR="00097144">
        <w:t xml:space="preserve">here is </w:t>
      </w:r>
      <w:proofErr w:type="gramStart"/>
      <w:r w:rsidR="00097144">
        <w:t>very little</w:t>
      </w:r>
      <w:proofErr w:type="gramEnd"/>
      <w:r w:rsidR="00097144">
        <w:t xml:space="preserve"> data about the effects of transgender procedures</w:t>
      </w:r>
      <w:r w:rsidR="00F45063">
        <w:t xml:space="preserve">. </w:t>
      </w:r>
      <w:r w:rsidR="00A34A2A">
        <w:t xml:space="preserve">As a group of English physicians noted: </w:t>
      </w:r>
      <w:r w:rsidR="00CC313F">
        <w:t>“The significant lack of evidence for treatments and interventions which may be offered to people with dysphoria is a major issue facing this area of healthcare.”</w:t>
      </w:r>
      <w:r w:rsidR="00197F9A">
        <w:rPr>
          <w:rStyle w:val="EndnoteReference"/>
        </w:rPr>
        <w:endnoteReference w:id="36"/>
      </w:r>
      <w:r w:rsidR="00CC313F">
        <w:t xml:space="preserve"> </w:t>
      </w:r>
      <w:r w:rsidR="0016307E">
        <w:t>The research that purports to show that</w:t>
      </w:r>
      <w:r w:rsidR="001173A9">
        <w:t xml:space="preserve"> “transitioning” practices </w:t>
      </w:r>
      <w:r w:rsidR="0094653F">
        <w:t>are</w:t>
      </w:r>
      <w:r w:rsidR="001173A9">
        <w:t xml:space="preserve"> helpful </w:t>
      </w:r>
      <w:r w:rsidR="0094653F">
        <w:t xml:space="preserve">are plagued by methodological shortcomings and highlight </w:t>
      </w:r>
      <w:r w:rsidR="004E75E2">
        <w:t xml:space="preserve">findings that suggest </w:t>
      </w:r>
      <w:r w:rsidR="008C0A07">
        <w:t xml:space="preserve">minor benefits while downplaying those that </w:t>
      </w:r>
      <w:r w:rsidR="00A17786">
        <w:t>suggest serious risks.</w:t>
      </w:r>
    </w:p>
    <w:p w14:paraId="01DD8E97" w14:textId="2ECB0BA4" w:rsidR="00C158D1" w:rsidRDefault="00C158D1" w:rsidP="00174B90">
      <w:pPr>
        <w:spacing w:line="320" w:lineRule="exact"/>
      </w:pPr>
    </w:p>
    <w:p w14:paraId="766C3471" w14:textId="005B7235" w:rsidR="00523317" w:rsidRPr="00DA4FB6" w:rsidRDefault="005A2F85" w:rsidP="00D43399">
      <w:pPr>
        <w:spacing w:before="100" w:beforeAutospacing="1" w:after="100" w:afterAutospacing="1"/>
        <w:ind w:left="-1260" w:right="-900" w:firstLine="360"/>
        <w:jc w:val="center"/>
      </w:pPr>
      <w:bookmarkStart w:id="0" w:name="OLE_LINK1"/>
      <w:bookmarkStart w:id="1" w:name="OLE_LINK2"/>
      <w:bookmarkStart w:id="2" w:name="_Hlk180211011"/>
      <w:r w:rsidRPr="00CE2E5A">
        <w:rPr>
          <w:i/>
          <w:sz w:val="20"/>
          <w:szCs w:val="20"/>
        </w:rPr>
        <w:t>Family Watch International</w:t>
      </w:r>
      <w:r>
        <w:rPr>
          <w:i/>
          <w:sz w:val="20"/>
          <w:szCs w:val="20"/>
        </w:rPr>
        <w:t xml:space="preserve"> ©</w:t>
      </w:r>
      <w:r w:rsidRPr="00CE2E5A">
        <w:rPr>
          <w:i/>
          <w:sz w:val="20"/>
          <w:szCs w:val="20"/>
        </w:rPr>
        <w:br/>
      </w:r>
      <w:r>
        <w:rPr>
          <w:i/>
          <w:sz w:val="20"/>
          <w:szCs w:val="20"/>
        </w:rPr>
        <w:t xml:space="preserve">       P.O. Box 1432, Gilbert, AZ, 85299-1432   •    </w:t>
      </w:r>
      <w:r w:rsidRPr="00B323FF">
        <w:rPr>
          <w:i/>
          <w:sz w:val="20"/>
          <w:szCs w:val="20"/>
        </w:rPr>
        <w:t>www.familywatchinternational.org</w:t>
      </w:r>
      <w:r>
        <w:rPr>
          <w:i/>
          <w:sz w:val="20"/>
          <w:szCs w:val="20"/>
        </w:rPr>
        <w:t xml:space="preserve">   •    </w:t>
      </w:r>
      <w:r w:rsidRPr="00C06AF4">
        <w:rPr>
          <w:i/>
          <w:sz w:val="20"/>
          <w:szCs w:val="20"/>
        </w:rPr>
        <w:t>fwi@familywatchinternational.org</w:t>
      </w:r>
      <w:r>
        <w:rPr>
          <w:i/>
          <w:sz w:val="20"/>
          <w:szCs w:val="20"/>
        </w:rPr>
        <w:t xml:space="preserve">   •   480.507.2664</w:t>
      </w:r>
      <w:bookmarkEnd w:id="0"/>
      <w:bookmarkEnd w:id="1"/>
      <w:bookmarkEnd w:id="2"/>
    </w:p>
    <w:sectPr w:rsidR="00523317" w:rsidRPr="00DA4FB6" w:rsidSect="00D43399">
      <w:headerReference w:type="default" r:id="rId11"/>
      <w:footerReference w:type="default" r:id="rId12"/>
      <w:endnotePr>
        <w:numFmt w:val="decimal"/>
      </w:endnotePr>
      <w:pgSz w:w="12240" w:h="15840"/>
      <w:pgMar w:top="1440" w:right="1296" w:bottom="1440" w:left="1296"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D69E3" w14:textId="77777777" w:rsidR="0021444D" w:rsidRDefault="0021444D">
      <w:r>
        <w:separator/>
      </w:r>
    </w:p>
  </w:endnote>
  <w:endnote w:type="continuationSeparator" w:id="0">
    <w:p w14:paraId="44742A14" w14:textId="77777777" w:rsidR="0021444D" w:rsidRDefault="0021444D">
      <w:r>
        <w:continuationSeparator/>
      </w:r>
    </w:p>
  </w:endnote>
  <w:endnote w:type="continuationNotice" w:id="1">
    <w:p w14:paraId="2336E15C" w14:textId="77777777" w:rsidR="0021444D" w:rsidRDefault="0021444D"/>
  </w:endnote>
  <w:endnote w:id="2">
    <w:p w14:paraId="19D7DE26" w14:textId="07ECBC5F" w:rsidR="001F418E" w:rsidRDefault="001F418E" w:rsidP="007739F0">
      <w:pPr>
        <w:pStyle w:val="EndnoteText"/>
      </w:pPr>
      <w:r>
        <w:rPr>
          <w:rStyle w:val="EndnoteReference"/>
        </w:rPr>
        <w:endnoteRef/>
      </w:r>
      <w:r>
        <w:t xml:space="preserve"> </w:t>
      </w:r>
      <w:r w:rsidR="007739F0">
        <w:t xml:space="preserve">Brief of Amicus Curiae Dr. Paul H. McHugh, M.D. Professor of Psychiatry, </w:t>
      </w:r>
      <w:r w:rsidR="00AC5F68">
        <w:t>R.G. &amp; G.R. Harris Funeral Homes, Inc. v. EEOC, No. 18-</w:t>
      </w:r>
      <w:r w:rsidR="007739F0">
        <w:t>107</w:t>
      </w:r>
      <w:r w:rsidR="00DB55E9">
        <w:t xml:space="preserve">, </w:t>
      </w:r>
      <w:hyperlink r:id="rId1" w:history="1">
        <w:r w:rsidR="003B3C8E">
          <w:rPr>
            <w:rStyle w:val="Hyperlink"/>
          </w:rPr>
          <w:t>https://www.supremecourt.gov/DocketPDF/18/18-107/113262/20190822151939369_TO%20PRINT%2019-8-22%20Dr.%20Paul%20McHugh%20Amicus%20Brief%20FINAL.pdf</w:t>
        </w:r>
      </w:hyperlink>
      <w:r w:rsidR="003B3C8E">
        <w:t>.</w:t>
      </w:r>
    </w:p>
  </w:endnote>
  <w:endnote w:id="3">
    <w:p w14:paraId="3B660ECD" w14:textId="045C410E" w:rsidR="00DB2FBB" w:rsidRDefault="00DB2FBB">
      <w:pPr>
        <w:pStyle w:val="EndnoteText"/>
      </w:pPr>
      <w:r>
        <w:rPr>
          <w:rStyle w:val="EndnoteReference"/>
        </w:rPr>
        <w:endnoteRef/>
      </w:r>
      <w:r>
        <w:t xml:space="preserve"> </w:t>
      </w:r>
      <w:r w:rsidR="00DD18CC">
        <w:t>Kenneth J. Zucker, “</w:t>
      </w:r>
      <w:r w:rsidR="00DD18CC" w:rsidRPr="00DD18CC">
        <w:t>Debate: Different strokes for different folks</w:t>
      </w:r>
      <w:r w:rsidR="00DD18CC">
        <w:t xml:space="preserve">” </w:t>
      </w:r>
      <w:r w:rsidR="00D85C45" w:rsidRPr="00D85C45">
        <w:rPr>
          <w:i/>
          <w:iCs/>
        </w:rPr>
        <w:t>Child and Adolescent Mental Health</w:t>
      </w:r>
      <w:r w:rsidR="00D85C45" w:rsidRPr="00D85C45">
        <w:t xml:space="preserve"> 25</w:t>
      </w:r>
      <w:r w:rsidR="00D85C45">
        <w:t>(</w:t>
      </w:r>
      <w:r w:rsidR="00D85C45" w:rsidRPr="00D85C45">
        <w:t>1</w:t>
      </w:r>
      <w:r w:rsidR="00D85C45">
        <w:t>):36-37 (</w:t>
      </w:r>
      <w:r w:rsidR="00D85C45" w:rsidRPr="00D85C45">
        <w:t>2020</w:t>
      </w:r>
      <w:r w:rsidR="00D85C45">
        <w:t>).</w:t>
      </w:r>
    </w:p>
  </w:endnote>
  <w:endnote w:id="4">
    <w:p w14:paraId="4F67594B" w14:textId="35CCD515" w:rsidR="007B0931" w:rsidRDefault="007B0931">
      <w:pPr>
        <w:pStyle w:val="EndnoteText"/>
      </w:pPr>
      <w:r>
        <w:rPr>
          <w:rStyle w:val="EndnoteReference"/>
        </w:rPr>
        <w:endnoteRef/>
      </w:r>
      <w:r>
        <w:t xml:space="preserve"> </w:t>
      </w:r>
      <w:r w:rsidRPr="007B0931">
        <w:t xml:space="preserve">Robert Withers, “Transgender medicalization and the attempt to evade psychological distress” </w:t>
      </w:r>
      <w:r w:rsidRPr="007B0931">
        <w:rPr>
          <w:i/>
          <w:iCs/>
        </w:rPr>
        <w:t>Journal of Analytical Psychology</w:t>
      </w:r>
      <w:r w:rsidRPr="007B0931">
        <w:t xml:space="preserve"> 65(5):865-889 (November 2020), https://onlinelibrary.wiley.com/doi/10.1111/1468-5922.12641</w:t>
      </w:r>
      <w:r>
        <w:t>.</w:t>
      </w:r>
    </w:p>
  </w:endnote>
  <w:endnote w:id="5">
    <w:p w14:paraId="21FDBAE3" w14:textId="0BF0BA13" w:rsidR="00D8474E" w:rsidRDefault="00D8474E">
      <w:pPr>
        <w:pStyle w:val="EndnoteText"/>
      </w:pPr>
      <w:r>
        <w:rPr>
          <w:rStyle w:val="EndnoteReference"/>
        </w:rPr>
        <w:endnoteRef/>
      </w:r>
      <w:r>
        <w:t xml:space="preserve"> </w:t>
      </w:r>
      <w:r w:rsidR="009F50AC" w:rsidRPr="009F50AC">
        <w:t>Urmila Ramakrishnan</w:t>
      </w:r>
      <w:r w:rsidR="009F50AC">
        <w:t>, “</w:t>
      </w:r>
      <w:r w:rsidR="009F50AC" w:rsidRPr="009F50AC">
        <w:t>Healing a System with Evidence</w:t>
      </w:r>
      <w:r w:rsidR="009F50AC">
        <w:t xml:space="preserve">” </w:t>
      </w:r>
      <w:r w:rsidR="009F50AC" w:rsidRPr="003921A7">
        <w:rPr>
          <w:i/>
          <w:iCs/>
        </w:rPr>
        <w:t>American Healthcare Leader</w:t>
      </w:r>
      <w:r w:rsidR="009F50AC">
        <w:t xml:space="preserve"> </w:t>
      </w:r>
      <w:r w:rsidR="003921A7">
        <w:t>(</w:t>
      </w:r>
      <w:r w:rsidR="009F50AC">
        <w:t xml:space="preserve">June 15, 2016), </w:t>
      </w:r>
      <w:hyperlink r:id="rId2" w:history="1">
        <w:r w:rsidR="009F50AC">
          <w:rPr>
            <w:rStyle w:val="Hyperlink"/>
          </w:rPr>
          <w:t>https://americanhealthcareleader.com/2016/wini-hayes/</w:t>
        </w:r>
      </w:hyperlink>
      <w:r w:rsidR="009F50AC">
        <w:t>.</w:t>
      </w:r>
    </w:p>
  </w:endnote>
  <w:endnote w:id="6">
    <w:p w14:paraId="4023F606" w14:textId="28032172" w:rsidR="003877FC" w:rsidRDefault="003877FC">
      <w:pPr>
        <w:pStyle w:val="EndnoteText"/>
      </w:pPr>
      <w:r>
        <w:rPr>
          <w:rStyle w:val="EndnoteReference"/>
        </w:rPr>
        <w:endnoteRef/>
      </w:r>
      <w:r>
        <w:t xml:space="preserve"> </w:t>
      </w:r>
      <w:r w:rsidR="00810EFF">
        <w:t xml:space="preserve">McHugh Amicus brief, p. </w:t>
      </w:r>
      <w:r w:rsidR="007D57A5">
        <w:t>22.</w:t>
      </w:r>
    </w:p>
  </w:endnote>
  <w:endnote w:id="7">
    <w:p w14:paraId="30DD2B40" w14:textId="2A76FCAD" w:rsidR="00552CFE" w:rsidRDefault="00552CFE">
      <w:pPr>
        <w:pStyle w:val="EndnoteText"/>
      </w:pPr>
      <w:r>
        <w:rPr>
          <w:rStyle w:val="EndnoteReference"/>
        </w:rPr>
        <w:endnoteRef/>
      </w:r>
      <w:r>
        <w:t xml:space="preserve"> Id. </w:t>
      </w:r>
      <w:r w:rsidR="0027310D">
        <w:t>a</w:t>
      </w:r>
      <w:r>
        <w:t>t 25.</w:t>
      </w:r>
    </w:p>
  </w:endnote>
  <w:endnote w:id="8">
    <w:p w14:paraId="170518E1" w14:textId="67C43379" w:rsidR="007B18BA" w:rsidRDefault="007B18BA">
      <w:pPr>
        <w:pStyle w:val="EndnoteText"/>
      </w:pPr>
      <w:r>
        <w:rPr>
          <w:rStyle w:val="EndnoteReference"/>
        </w:rPr>
        <w:endnoteRef/>
      </w:r>
      <w:r>
        <w:t xml:space="preserve"> Id. at 27.</w:t>
      </w:r>
    </w:p>
  </w:endnote>
  <w:endnote w:id="9">
    <w:p w14:paraId="2BD16FCE" w14:textId="0345B415" w:rsidR="00333E05" w:rsidRDefault="00333E05">
      <w:pPr>
        <w:pStyle w:val="EndnoteText"/>
      </w:pPr>
      <w:r>
        <w:rPr>
          <w:rStyle w:val="EndnoteReference"/>
        </w:rPr>
        <w:endnoteRef/>
      </w:r>
      <w:r>
        <w:t xml:space="preserve"> </w:t>
      </w:r>
      <w:r w:rsidR="001F3CB7">
        <w:t xml:space="preserve">David Batty, “Mistaken Identity” </w:t>
      </w:r>
      <w:r w:rsidR="001F3CB7" w:rsidRPr="001F3CB7">
        <w:rPr>
          <w:i/>
          <w:iCs/>
        </w:rPr>
        <w:t>The Guardian</w:t>
      </w:r>
      <w:r w:rsidR="001F3CB7">
        <w:t xml:space="preserve"> (July 30, 2004), </w:t>
      </w:r>
      <w:hyperlink r:id="rId3" w:history="1">
        <w:r w:rsidR="001F3CB7">
          <w:rPr>
            <w:rStyle w:val="Hyperlink"/>
          </w:rPr>
          <w:t>https://www.theguardian.com/society/2004/jul/31/health.socialcare</w:t>
        </w:r>
      </w:hyperlink>
      <w:r w:rsidR="001F3CB7">
        <w:t>.</w:t>
      </w:r>
    </w:p>
  </w:endnote>
  <w:endnote w:id="10">
    <w:p w14:paraId="661A53CB" w14:textId="6B57A451" w:rsidR="001E4C4C" w:rsidRDefault="001E4C4C">
      <w:pPr>
        <w:pStyle w:val="EndnoteText"/>
      </w:pPr>
      <w:r>
        <w:rPr>
          <w:rStyle w:val="EndnoteReference"/>
        </w:rPr>
        <w:endnoteRef/>
      </w:r>
      <w:r>
        <w:t xml:space="preserve"> </w:t>
      </w:r>
      <w:r w:rsidR="00172C72" w:rsidRPr="00172C72">
        <w:t xml:space="preserve">Richard </w:t>
      </w:r>
      <w:proofErr w:type="spellStart"/>
      <w:r w:rsidR="00172C72" w:rsidRPr="00172C72">
        <w:t>Bränström</w:t>
      </w:r>
      <w:proofErr w:type="spellEnd"/>
      <w:r w:rsidR="00172C72">
        <w:t xml:space="preserve"> &amp; </w:t>
      </w:r>
      <w:r w:rsidR="00172C72" w:rsidRPr="00172C72">
        <w:t xml:space="preserve">John E. </w:t>
      </w:r>
      <w:proofErr w:type="spellStart"/>
      <w:r w:rsidR="00172C72" w:rsidRPr="00172C72">
        <w:t>Pachankis</w:t>
      </w:r>
      <w:proofErr w:type="spellEnd"/>
      <w:r w:rsidR="00172C72">
        <w:t>, “</w:t>
      </w:r>
      <w:r w:rsidR="00172C72" w:rsidRPr="00172C72">
        <w:t>Reduction in Mental Health Treatment Utilization Among Transgender Individuals After Gender-Affirming Surgeries: A Total Population Study</w:t>
      </w:r>
      <w:r w:rsidR="00172C72">
        <w:t xml:space="preserve">” </w:t>
      </w:r>
      <w:r w:rsidR="00172C72" w:rsidRPr="002740CB">
        <w:rPr>
          <w:i/>
          <w:iCs/>
        </w:rPr>
        <w:t>American Journal of Psychiatry</w:t>
      </w:r>
      <w:r w:rsidR="00172C72">
        <w:t xml:space="preserve"> </w:t>
      </w:r>
      <w:r w:rsidR="006F2739">
        <w:t xml:space="preserve">(October 4, 2019), </w:t>
      </w:r>
      <w:hyperlink r:id="rId4" w:history="1">
        <w:r w:rsidR="006F2739">
          <w:rPr>
            <w:rStyle w:val="Hyperlink"/>
          </w:rPr>
          <w:t>https://ajp.psychiatryonline.org/doi/10.1176/appi.ajp.2019.19010080</w:t>
        </w:r>
      </w:hyperlink>
      <w:r w:rsidR="006F2739">
        <w:t>.</w:t>
      </w:r>
    </w:p>
  </w:endnote>
  <w:endnote w:id="11">
    <w:p w14:paraId="4D29D380" w14:textId="692046B6" w:rsidR="005E2CBE" w:rsidRDefault="005E2CBE">
      <w:pPr>
        <w:pStyle w:val="EndnoteText"/>
      </w:pPr>
      <w:r>
        <w:rPr>
          <w:rStyle w:val="EndnoteReference"/>
        </w:rPr>
        <w:endnoteRef/>
      </w:r>
      <w:r>
        <w:t xml:space="preserve"> </w:t>
      </w:r>
      <w:r w:rsidR="00F358CA">
        <w:t>Mark Regnerus, “</w:t>
      </w:r>
      <w:r w:rsidR="00F358CA" w:rsidRPr="00F358CA">
        <w:t xml:space="preserve">New Data Show </w:t>
      </w:r>
      <w:r w:rsidR="00F358CA">
        <w:t>‘</w:t>
      </w:r>
      <w:r w:rsidR="00F358CA" w:rsidRPr="00F358CA">
        <w:t>Gender-Affirming</w:t>
      </w:r>
      <w:r w:rsidR="00F358CA">
        <w:t>’</w:t>
      </w:r>
      <w:r w:rsidR="00F358CA" w:rsidRPr="00F358CA">
        <w:t xml:space="preserve"> Surgery Doesn’t Really Improve Mental Health. So Why Are the Study’s Authors Saying It Does?</w:t>
      </w:r>
      <w:r w:rsidR="00F358CA">
        <w:t xml:space="preserve">” </w:t>
      </w:r>
      <w:r w:rsidR="00F358CA" w:rsidRPr="00216B25">
        <w:rPr>
          <w:i/>
          <w:iCs/>
        </w:rPr>
        <w:t>Public Discourse</w:t>
      </w:r>
      <w:r w:rsidR="00F358CA">
        <w:t xml:space="preserve"> </w:t>
      </w:r>
      <w:r w:rsidR="00216B25">
        <w:t xml:space="preserve">(November 13, 2019), </w:t>
      </w:r>
      <w:hyperlink r:id="rId5" w:history="1">
        <w:r w:rsidR="00216B25">
          <w:rPr>
            <w:rStyle w:val="Hyperlink"/>
          </w:rPr>
          <w:t>https://www.thepublicdiscourse.com/2019/11/58371/</w:t>
        </w:r>
      </w:hyperlink>
      <w:r w:rsidR="00216B25">
        <w:t>.</w:t>
      </w:r>
    </w:p>
  </w:endnote>
  <w:endnote w:id="12">
    <w:p w14:paraId="25D24A96" w14:textId="0BF07A88" w:rsidR="005E2CBE" w:rsidRDefault="005E2CBE">
      <w:pPr>
        <w:pStyle w:val="EndnoteText"/>
      </w:pPr>
      <w:r>
        <w:rPr>
          <w:rStyle w:val="EndnoteReference"/>
        </w:rPr>
        <w:endnoteRef/>
      </w:r>
      <w:r>
        <w:t xml:space="preserve"> Id.</w:t>
      </w:r>
    </w:p>
  </w:endnote>
  <w:endnote w:id="13">
    <w:p w14:paraId="106CAD15" w14:textId="7E9E0E2F" w:rsidR="003507F2" w:rsidRDefault="003507F2">
      <w:pPr>
        <w:pStyle w:val="EndnoteText"/>
      </w:pPr>
      <w:r>
        <w:rPr>
          <w:rStyle w:val="EndnoteReference"/>
        </w:rPr>
        <w:endnoteRef/>
      </w:r>
      <w:r>
        <w:t xml:space="preserve"> Id.</w:t>
      </w:r>
    </w:p>
  </w:endnote>
  <w:endnote w:id="14">
    <w:p w14:paraId="58665B94" w14:textId="22B93C6B" w:rsidR="008D6B3F" w:rsidRDefault="008D6B3F" w:rsidP="007B476A">
      <w:pPr>
        <w:pStyle w:val="EndnoteText"/>
      </w:pPr>
      <w:r>
        <w:rPr>
          <w:rStyle w:val="EndnoteReference"/>
        </w:rPr>
        <w:endnoteRef/>
      </w:r>
      <w:r>
        <w:t xml:space="preserve"> Andre Van Mol, et al., “</w:t>
      </w:r>
      <w:r w:rsidR="007B476A">
        <w:t>Gender-Affirmation Surgery Conclusion Lacks Evidence</w:t>
      </w:r>
      <w:r>
        <w:t>”</w:t>
      </w:r>
      <w:r w:rsidR="007B476A">
        <w:t xml:space="preserve"> </w:t>
      </w:r>
      <w:r w:rsidR="007B476A" w:rsidRPr="00716193">
        <w:rPr>
          <w:i/>
          <w:iCs/>
        </w:rPr>
        <w:t>American Journal of Psychiatry</w:t>
      </w:r>
      <w:r w:rsidR="007B476A">
        <w:t xml:space="preserve"> 177:</w:t>
      </w:r>
      <w:r w:rsidR="00DB4AE5">
        <w:t>756-766</w:t>
      </w:r>
      <w:r w:rsidR="007B476A">
        <w:t xml:space="preserve"> (August 2020).</w:t>
      </w:r>
    </w:p>
  </w:endnote>
  <w:endnote w:id="15">
    <w:p w14:paraId="791B70E5" w14:textId="4F839850" w:rsidR="001829B6" w:rsidRDefault="001829B6" w:rsidP="006B0393">
      <w:pPr>
        <w:pStyle w:val="EndnoteText"/>
      </w:pPr>
      <w:r>
        <w:rPr>
          <w:rStyle w:val="EndnoteReference"/>
        </w:rPr>
        <w:endnoteRef/>
      </w:r>
      <w:r>
        <w:t xml:space="preserve"> </w:t>
      </w:r>
      <w:r w:rsidR="006B0393">
        <w:t xml:space="preserve">David Curtis, “Study of Transgender Patients: Conclusions Are Not Supported by Findings” </w:t>
      </w:r>
      <w:r w:rsidR="007D6688" w:rsidRPr="00DB4AE5">
        <w:rPr>
          <w:i/>
          <w:iCs/>
        </w:rPr>
        <w:t>American Journal of Psychiatry</w:t>
      </w:r>
      <w:r w:rsidR="007D6688" w:rsidRPr="007D6688">
        <w:t xml:space="preserve"> 177:766</w:t>
      </w:r>
      <w:r w:rsidR="00DB4AE5">
        <w:t xml:space="preserve"> (August 2020).</w:t>
      </w:r>
    </w:p>
  </w:endnote>
  <w:endnote w:id="16">
    <w:p w14:paraId="451DE249" w14:textId="41571DBD" w:rsidR="00A443AA" w:rsidRDefault="00A443AA" w:rsidP="00BC47A2">
      <w:pPr>
        <w:pStyle w:val="EndnoteText"/>
      </w:pPr>
      <w:r>
        <w:rPr>
          <w:rStyle w:val="EndnoteReference"/>
        </w:rPr>
        <w:endnoteRef/>
      </w:r>
      <w:r>
        <w:t xml:space="preserve"> </w:t>
      </w:r>
      <w:r w:rsidR="003A2116">
        <w:t xml:space="preserve">William J. Malone &amp; Sven Roman, </w:t>
      </w:r>
      <w:r w:rsidR="00BC47A2">
        <w:t xml:space="preserve">“Calling </w:t>
      </w:r>
      <w:proofErr w:type="gramStart"/>
      <w:r w:rsidR="00BC47A2">
        <w:t>Into</w:t>
      </w:r>
      <w:proofErr w:type="gramEnd"/>
      <w:r w:rsidR="00BC47A2">
        <w:t xml:space="preserve"> Question Whether Gender-Affirming Surgery Relieves Psychological Distress” </w:t>
      </w:r>
      <w:r w:rsidR="00545120" w:rsidRPr="00DB4AE5">
        <w:rPr>
          <w:i/>
          <w:iCs/>
        </w:rPr>
        <w:t>American Journal of Psychiatry</w:t>
      </w:r>
      <w:r w:rsidR="00545120" w:rsidRPr="007D6688">
        <w:t xml:space="preserve"> 177:766</w:t>
      </w:r>
      <w:r w:rsidR="00545120">
        <w:t>-767 (August 2020).</w:t>
      </w:r>
    </w:p>
  </w:endnote>
  <w:endnote w:id="17">
    <w:p w14:paraId="2849B1AE" w14:textId="371AB64B" w:rsidR="00F03D34" w:rsidRDefault="00F03D34" w:rsidP="003B049B">
      <w:pPr>
        <w:pStyle w:val="EndnoteText"/>
      </w:pPr>
      <w:r>
        <w:rPr>
          <w:rStyle w:val="EndnoteReference"/>
        </w:rPr>
        <w:endnoteRef/>
      </w:r>
      <w:r>
        <w:t xml:space="preserve"> Agnes </w:t>
      </w:r>
      <w:proofErr w:type="spellStart"/>
      <w:r>
        <w:t>Wold</w:t>
      </w:r>
      <w:proofErr w:type="spellEnd"/>
      <w:r>
        <w:t>, “</w:t>
      </w:r>
      <w:r w:rsidR="003B049B">
        <w:t xml:space="preserve">Gender-Corrective Surgery Promoting Mental Health in Persons </w:t>
      </w:r>
      <w:proofErr w:type="gramStart"/>
      <w:r w:rsidR="003B049B">
        <w:t>With</w:t>
      </w:r>
      <w:proofErr w:type="gramEnd"/>
      <w:r w:rsidR="003B049B">
        <w:t xml:space="preserve"> Gender Dysphoria Not Supported by Data Presented in Article</w:t>
      </w:r>
      <w:r>
        <w:t xml:space="preserve">” </w:t>
      </w:r>
      <w:r w:rsidRPr="00716193">
        <w:rPr>
          <w:i/>
          <w:iCs/>
        </w:rPr>
        <w:t>American Journal of Psychiatry</w:t>
      </w:r>
      <w:r>
        <w:t xml:space="preserve"> 177:</w:t>
      </w:r>
      <w:r w:rsidR="003B049B">
        <w:t>76</w:t>
      </w:r>
      <w:r>
        <w:t>8 (August 2020).</w:t>
      </w:r>
    </w:p>
  </w:endnote>
  <w:endnote w:id="18">
    <w:p w14:paraId="5E09E49E" w14:textId="7391AAB4" w:rsidR="00503701" w:rsidRDefault="00503701">
      <w:pPr>
        <w:pStyle w:val="EndnoteText"/>
      </w:pPr>
      <w:r>
        <w:rPr>
          <w:rStyle w:val="EndnoteReference"/>
        </w:rPr>
        <w:endnoteRef/>
      </w:r>
      <w:r>
        <w:t xml:space="preserve"> </w:t>
      </w:r>
      <w:r w:rsidR="007826A2">
        <w:t xml:space="preserve">“Correction to </w:t>
      </w:r>
      <w:proofErr w:type="spellStart"/>
      <w:r w:rsidR="007826A2">
        <w:t>Branstorm</w:t>
      </w:r>
      <w:proofErr w:type="spellEnd"/>
      <w:r w:rsidR="007826A2">
        <w:t xml:space="preserve"> and </w:t>
      </w:r>
      <w:proofErr w:type="spellStart"/>
      <w:r w:rsidR="007826A2">
        <w:t>Pachankis</w:t>
      </w:r>
      <w:proofErr w:type="spellEnd"/>
      <w:r w:rsidR="007826A2">
        <w:t xml:space="preserve">” </w:t>
      </w:r>
      <w:r w:rsidR="007826A2" w:rsidRPr="00716193">
        <w:rPr>
          <w:i/>
          <w:iCs/>
        </w:rPr>
        <w:t>American Journal of Psychiatry</w:t>
      </w:r>
      <w:r w:rsidR="007826A2">
        <w:t xml:space="preserve"> </w:t>
      </w:r>
      <w:r w:rsidR="00A02911">
        <w:t xml:space="preserve">177:8 (August 2020), </w:t>
      </w:r>
      <w:hyperlink r:id="rId6" w:history="1">
        <w:r w:rsidR="00716193">
          <w:rPr>
            <w:rStyle w:val="Hyperlink"/>
          </w:rPr>
          <w:t>https://ajp.psychiatryonline.org/doi/pdf/10.1176/appi.ajp.2020.1778correction</w:t>
        </w:r>
      </w:hyperlink>
      <w:r w:rsidR="00716193">
        <w:t>.</w:t>
      </w:r>
    </w:p>
  </w:endnote>
  <w:endnote w:id="19">
    <w:p w14:paraId="7B70ECAC" w14:textId="77777777" w:rsidR="00E806CF" w:rsidRPr="00603B4B" w:rsidRDefault="00E806CF" w:rsidP="00E806CF">
      <w:pPr>
        <w:pStyle w:val="EndnoteText"/>
        <w:spacing w:after="0"/>
        <w:rPr>
          <w:rFonts w:cstheme="minorHAnsi"/>
        </w:rPr>
      </w:pPr>
      <w:r w:rsidRPr="00603B4B">
        <w:rPr>
          <w:rStyle w:val="EndnoteReference"/>
          <w:rFonts w:cstheme="minorHAnsi"/>
        </w:rPr>
        <w:endnoteRef/>
      </w:r>
      <w:r w:rsidRPr="00603B4B">
        <w:rPr>
          <w:rFonts w:cstheme="minorHAnsi"/>
        </w:rPr>
        <w:t xml:space="preserve"> Jack L. Turban, et al., “Pubertal Suppression for Transgender Youth and Risk of Suicidal Ideation” </w:t>
      </w:r>
      <w:r w:rsidRPr="00603B4B">
        <w:rPr>
          <w:rFonts w:cstheme="minorHAnsi"/>
          <w:i/>
          <w:iCs/>
        </w:rPr>
        <w:t>Pediatrics</w:t>
      </w:r>
      <w:r w:rsidRPr="00603B4B">
        <w:rPr>
          <w:rFonts w:cstheme="minorHAnsi"/>
        </w:rPr>
        <w:t xml:space="preserve"> 145(2</w:t>
      </w:r>
      <w:proofErr w:type="gramStart"/>
      <w:r w:rsidRPr="00603B4B">
        <w:rPr>
          <w:rFonts w:cstheme="minorHAnsi"/>
        </w:rPr>
        <w:t>):e</w:t>
      </w:r>
      <w:proofErr w:type="gramEnd"/>
      <w:r w:rsidRPr="00603B4B">
        <w:rPr>
          <w:rFonts w:cstheme="minorHAnsi"/>
        </w:rPr>
        <w:t>20191725 (February 2020).</w:t>
      </w:r>
    </w:p>
  </w:endnote>
  <w:endnote w:id="20">
    <w:p w14:paraId="36348CE1" w14:textId="77777777" w:rsidR="00E806CF" w:rsidRPr="00603B4B" w:rsidRDefault="00E806CF" w:rsidP="00E806CF">
      <w:pPr>
        <w:pStyle w:val="EndnoteText"/>
        <w:spacing w:after="0"/>
        <w:rPr>
          <w:rFonts w:cstheme="minorHAnsi"/>
        </w:rPr>
      </w:pPr>
      <w:r w:rsidRPr="00603B4B">
        <w:rPr>
          <w:rStyle w:val="EndnoteReference"/>
          <w:rFonts w:cstheme="minorHAnsi"/>
        </w:rPr>
        <w:endnoteRef/>
      </w:r>
      <w:r w:rsidRPr="00603B4B">
        <w:rPr>
          <w:rFonts w:cstheme="minorHAnsi"/>
        </w:rPr>
        <w:t xml:space="preserve"> Scott S. Field &amp; Den A. Trumbull, “RE: Pubertal Suppression for Transgender Youth and Risk of Suicidal Ideation” </w:t>
      </w:r>
      <w:r w:rsidRPr="00603B4B">
        <w:rPr>
          <w:rFonts w:cstheme="minorHAnsi"/>
          <w:i/>
          <w:iCs/>
        </w:rPr>
        <w:t>Pediatrics</w:t>
      </w:r>
      <w:r w:rsidRPr="00603B4B">
        <w:rPr>
          <w:rFonts w:cstheme="minorHAnsi"/>
        </w:rPr>
        <w:t xml:space="preserve"> (February 2020), </w:t>
      </w:r>
      <w:hyperlink r:id="rId7" w:anchor="re-pubertal-suppression-for-transgender-youth-and-risk-of-suicidal-ideation" w:history="1">
        <w:r w:rsidRPr="00603B4B">
          <w:rPr>
            <w:rStyle w:val="Hyperlink"/>
            <w:rFonts w:cstheme="minorHAnsi"/>
          </w:rPr>
          <w:t>https://pediatrics.aappublications.org/content/145/2/e20191725/tab-e-letters#re-pubertal-suppression-for-transgender-youth-and-risk-of-suicidal-ideation</w:t>
        </w:r>
      </w:hyperlink>
      <w:r w:rsidRPr="00603B4B">
        <w:rPr>
          <w:rFonts w:cstheme="minorHAnsi"/>
        </w:rPr>
        <w:t>.</w:t>
      </w:r>
    </w:p>
  </w:endnote>
  <w:endnote w:id="21">
    <w:p w14:paraId="190D5A19" w14:textId="77777777" w:rsidR="00E806CF" w:rsidRPr="00603B4B" w:rsidRDefault="00E806CF" w:rsidP="00E806CF">
      <w:pPr>
        <w:pStyle w:val="EndnoteText"/>
        <w:rPr>
          <w:rFonts w:cstheme="minorHAnsi"/>
        </w:rPr>
      </w:pPr>
      <w:r w:rsidRPr="00603B4B">
        <w:rPr>
          <w:rStyle w:val="EndnoteReference"/>
          <w:rFonts w:cstheme="minorHAnsi"/>
        </w:rPr>
        <w:endnoteRef/>
      </w:r>
      <w:r w:rsidRPr="00603B4B">
        <w:rPr>
          <w:rFonts w:cstheme="minorHAnsi"/>
        </w:rPr>
        <w:t xml:space="preserve"> Id.</w:t>
      </w:r>
    </w:p>
  </w:endnote>
  <w:endnote w:id="22">
    <w:p w14:paraId="112E4E82" w14:textId="77777777" w:rsidR="00E806CF" w:rsidRPr="00603B4B" w:rsidRDefault="00E806CF" w:rsidP="00E806CF">
      <w:pPr>
        <w:pStyle w:val="EndnoteText"/>
        <w:rPr>
          <w:rFonts w:cstheme="minorHAnsi"/>
        </w:rPr>
      </w:pPr>
      <w:r w:rsidRPr="00603B4B">
        <w:rPr>
          <w:rStyle w:val="EndnoteReference"/>
          <w:rFonts w:cstheme="minorHAnsi"/>
        </w:rPr>
        <w:endnoteRef/>
      </w:r>
      <w:r w:rsidRPr="00603B4B">
        <w:rPr>
          <w:rFonts w:cstheme="minorHAnsi"/>
        </w:rPr>
        <w:t xml:space="preserve"> Id.</w:t>
      </w:r>
    </w:p>
  </w:endnote>
  <w:endnote w:id="23">
    <w:p w14:paraId="38868AC6" w14:textId="77777777" w:rsidR="00E806CF" w:rsidRPr="00603B4B" w:rsidRDefault="00E806CF" w:rsidP="00E806CF">
      <w:pPr>
        <w:pStyle w:val="EndnoteText"/>
        <w:spacing w:after="0"/>
        <w:rPr>
          <w:rFonts w:cstheme="minorHAnsi"/>
        </w:rPr>
      </w:pPr>
      <w:r w:rsidRPr="00603B4B">
        <w:rPr>
          <w:rStyle w:val="EndnoteReference"/>
          <w:rFonts w:cstheme="minorHAnsi"/>
        </w:rPr>
        <w:endnoteRef/>
      </w:r>
      <w:r w:rsidRPr="00603B4B">
        <w:rPr>
          <w:rFonts w:cstheme="minorHAnsi"/>
        </w:rPr>
        <w:t xml:space="preserve"> </w:t>
      </w:r>
      <w:proofErr w:type="spellStart"/>
      <w:r w:rsidRPr="00603B4B">
        <w:rPr>
          <w:rFonts w:cstheme="minorHAnsi"/>
        </w:rPr>
        <w:t>Avi</w:t>
      </w:r>
      <w:proofErr w:type="spellEnd"/>
      <w:r w:rsidRPr="00603B4B">
        <w:rPr>
          <w:rFonts w:cstheme="minorHAnsi"/>
        </w:rPr>
        <w:t xml:space="preserve"> Ring, Letter, “RE: Pubertal Suppression for Transgender Youth and Risk of Suicidal Ideation” </w:t>
      </w:r>
      <w:r w:rsidRPr="00603B4B">
        <w:rPr>
          <w:rFonts w:cstheme="minorHAnsi"/>
          <w:i/>
          <w:iCs/>
        </w:rPr>
        <w:t>Pediatrics</w:t>
      </w:r>
      <w:r w:rsidRPr="00603B4B">
        <w:rPr>
          <w:rFonts w:cstheme="minorHAnsi"/>
        </w:rPr>
        <w:t xml:space="preserve"> (February 2020), </w:t>
      </w:r>
      <w:hyperlink r:id="rId8" w:anchor="re-pubertal-suppression-for-transgender-youth-and-risk-of-suicidal-ideation" w:history="1">
        <w:r w:rsidRPr="00603B4B">
          <w:rPr>
            <w:rStyle w:val="Hyperlink"/>
            <w:rFonts w:cstheme="minorHAnsi"/>
          </w:rPr>
          <w:t>https://pediatrics.aappublications.org/content/145/2/e20191725/tab-e-letters#re-pubertal-suppression-for-transgender-youth-and-risk-of-suicidal-ideation</w:t>
        </w:r>
      </w:hyperlink>
      <w:r w:rsidRPr="00603B4B">
        <w:rPr>
          <w:rFonts w:cstheme="minorHAnsi"/>
        </w:rPr>
        <w:t>.</w:t>
      </w:r>
    </w:p>
  </w:endnote>
  <w:endnote w:id="24">
    <w:p w14:paraId="745C5DBF" w14:textId="0AAE0A42" w:rsidR="00B350C3" w:rsidRDefault="00B350C3" w:rsidP="00B541C4">
      <w:pPr>
        <w:pStyle w:val="EndnoteText"/>
      </w:pPr>
      <w:r>
        <w:rPr>
          <w:rStyle w:val="EndnoteReference"/>
        </w:rPr>
        <w:endnoteRef/>
      </w:r>
      <w:r>
        <w:t xml:space="preserve"> </w:t>
      </w:r>
      <w:r w:rsidR="00A040D2">
        <w:t xml:space="preserve">Michael Biggs, </w:t>
      </w:r>
      <w:r w:rsidR="00B541C4">
        <w:t xml:space="preserve">“Puberty Blockers and Suicidality in Adolescents Suffering from Gender Dysphoria” </w:t>
      </w:r>
      <w:r w:rsidR="00B541C4" w:rsidRPr="00931359">
        <w:rPr>
          <w:i/>
          <w:iCs/>
        </w:rPr>
        <w:t>Archives of Sexual Behavior</w:t>
      </w:r>
      <w:r w:rsidR="0032742A">
        <w:t xml:space="preserve"> (June 3, 2020), </w:t>
      </w:r>
      <w:hyperlink r:id="rId9" w:history="1">
        <w:r w:rsidR="00931359" w:rsidRPr="00B24703">
          <w:rPr>
            <w:rStyle w:val="Hyperlink"/>
          </w:rPr>
          <w:t>https://link.springer.com/article/10.1007/s10508-020-01743-6</w:t>
        </w:r>
      </w:hyperlink>
      <w:r w:rsidR="00931359">
        <w:t>.</w:t>
      </w:r>
    </w:p>
  </w:endnote>
  <w:endnote w:id="25">
    <w:p w14:paraId="616787AC" w14:textId="3EB30CC6" w:rsidR="00953370" w:rsidRDefault="00953370">
      <w:pPr>
        <w:pStyle w:val="EndnoteText"/>
      </w:pPr>
      <w:r>
        <w:rPr>
          <w:rStyle w:val="EndnoteReference"/>
        </w:rPr>
        <w:endnoteRef/>
      </w:r>
      <w:r>
        <w:t xml:space="preserve"> Abigail </w:t>
      </w:r>
      <w:proofErr w:type="spellStart"/>
      <w:r>
        <w:t>Shrier</w:t>
      </w:r>
      <w:proofErr w:type="spellEnd"/>
      <w:r>
        <w:t>, “</w:t>
      </w:r>
      <w:r w:rsidR="004A22FA">
        <w:t>Affirmative Abandonment</w:t>
      </w:r>
      <w:r>
        <w:t xml:space="preserve">” </w:t>
      </w:r>
      <w:r w:rsidRPr="004A22FA">
        <w:rPr>
          <w:i/>
          <w:iCs/>
        </w:rPr>
        <w:t>City Journal</w:t>
      </w:r>
      <w:r>
        <w:t xml:space="preserve"> (June 23, 2020), </w:t>
      </w:r>
      <w:hyperlink r:id="rId10" w:history="1">
        <w:r w:rsidR="00B70D53">
          <w:rPr>
            <w:rStyle w:val="Hyperlink"/>
          </w:rPr>
          <w:t>https://www.city-journal.org/hormone-treatments-gender-dysphoric-children</w:t>
        </w:r>
      </w:hyperlink>
      <w:r w:rsidR="00B70D53">
        <w:t>.</w:t>
      </w:r>
    </w:p>
  </w:endnote>
  <w:endnote w:id="26">
    <w:p w14:paraId="5B151F33" w14:textId="00C84A2A" w:rsidR="004F304F" w:rsidRDefault="004F304F">
      <w:pPr>
        <w:pStyle w:val="EndnoteText"/>
      </w:pPr>
      <w:r>
        <w:rPr>
          <w:rStyle w:val="EndnoteReference"/>
        </w:rPr>
        <w:endnoteRef/>
      </w:r>
      <w:r>
        <w:t xml:space="preserve"> </w:t>
      </w:r>
      <w:r w:rsidRPr="00AD35FE">
        <w:rPr>
          <w:rFonts w:cstheme="minorHAnsi"/>
        </w:rPr>
        <w:t xml:space="preserve">Laura E. </w:t>
      </w:r>
      <w:proofErr w:type="spellStart"/>
      <w:r w:rsidRPr="00AD35FE">
        <w:rPr>
          <w:rFonts w:cstheme="minorHAnsi"/>
        </w:rPr>
        <w:t>Kuper</w:t>
      </w:r>
      <w:proofErr w:type="spellEnd"/>
      <w:r w:rsidRPr="00AD35FE">
        <w:rPr>
          <w:rFonts w:cstheme="minorHAnsi"/>
        </w:rPr>
        <w:t xml:space="preserve">, et al., “Body Dissatisfaction and Mental Health Outcomes of Youth on Gender-Affirming Hormone Therapy” </w:t>
      </w:r>
      <w:r w:rsidRPr="00AD35FE">
        <w:rPr>
          <w:rFonts w:cstheme="minorHAnsi"/>
          <w:i/>
          <w:iCs/>
        </w:rPr>
        <w:t>Pediatrics</w:t>
      </w:r>
      <w:r w:rsidRPr="00AD35FE">
        <w:rPr>
          <w:rFonts w:cstheme="minorHAnsi"/>
        </w:rPr>
        <w:t xml:space="preserve"> 145(4):e20193006 (April 2020), </w:t>
      </w:r>
      <w:hyperlink r:id="rId11" w:history="1">
        <w:r w:rsidR="00D07038" w:rsidRPr="0069240B">
          <w:rPr>
            <w:rStyle w:val="Hyperlink"/>
          </w:rPr>
          <w:t>https://pediatrics.aappublications.org/content/145/4/e20193006</w:t>
        </w:r>
      </w:hyperlink>
      <w:r w:rsidRPr="004F304F">
        <w:rPr>
          <w:rStyle w:val="Hyperlink"/>
          <w:u w:val="none"/>
        </w:rPr>
        <w:t>.</w:t>
      </w:r>
    </w:p>
  </w:endnote>
  <w:endnote w:id="27">
    <w:p w14:paraId="30C9E80D" w14:textId="122E9EE5" w:rsidR="00285AE8" w:rsidRDefault="00285AE8">
      <w:pPr>
        <w:pStyle w:val="EndnoteText"/>
      </w:pPr>
      <w:r>
        <w:rPr>
          <w:rStyle w:val="EndnoteReference"/>
        </w:rPr>
        <w:endnoteRef/>
      </w:r>
      <w:r>
        <w:t xml:space="preserve"> </w:t>
      </w:r>
      <w:r w:rsidR="00637601">
        <w:t>Rosalia Costa, et al., “</w:t>
      </w:r>
      <w:r w:rsidR="00637601" w:rsidRPr="00637601">
        <w:t>Psychological Support, Puberty Suppression, and Psychosocial Functioning in Adolescents With Gender Dysphoria</w:t>
      </w:r>
      <w:r w:rsidR="00637601">
        <w:t xml:space="preserve">” </w:t>
      </w:r>
      <w:r w:rsidR="00637601" w:rsidRPr="00773086">
        <w:rPr>
          <w:i/>
          <w:iCs/>
        </w:rPr>
        <w:t>Journal of Sexual Medicine</w:t>
      </w:r>
      <w:r w:rsidR="00637601">
        <w:t xml:space="preserve"> 12(11):</w:t>
      </w:r>
      <w:r w:rsidR="00773086">
        <w:t xml:space="preserve">2206-2214 (November 2015), </w:t>
      </w:r>
      <w:hyperlink r:id="rId12" w:history="1">
        <w:r w:rsidR="00773086">
          <w:rPr>
            <w:rStyle w:val="Hyperlink"/>
          </w:rPr>
          <w:t>https://pubmed.ncbi.nlm.nih.gov/26556015/</w:t>
        </w:r>
      </w:hyperlink>
      <w:r w:rsidR="00773086">
        <w:t>.</w:t>
      </w:r>
    </w:p>
  </w:endnote>
  <w:endnote w:id="28">
    <w:p w14:paraId="6E30617A" w14:textId="5156C7F0" w:rsidR="00D2619F" w:rsidRDefault="00D2619F">
      <w:pPr>
        <w:pStyle w:val="EndnoteText"/>
      </w:pPr>
      <w:r>
        <w:rPr>
          <w:rStyle w:val="EndnoteReference"/>
        </w:rPr>
        <w:endnoteRef/>
      </w:r>
      <w:r>
        <w:t xml:space="preserve"> Michael Biggs, </w:t>
      </w:r>
      <w:r w:rsidR="007D0853">
        <w:t>“</w:t>
      </w:r>
      <w:r w:rsidR="007D0853" w:rsidRPr="007D0853">
        <w:t>A Letter to the Editor Regarding the Original Article by Costa et al: Psychological Support, Puberty Suppression, and Psychosocial Functioning in Adolescents with Gender Dysphoria</w:t>
      </w:r>
      <w:r w:rsidR="007D0853">
        <w:t xml:space="preserve">” </w:t>
      </w:r>
      <w:r w:rsidR="00AA7DBB" w:rsidRPr="00AA7DBB">
        <w:rPr>
          <w:i/>
          <w:iCs/>
        </w:rPr>
        <w:t>Journal of Sexual Medicine</w:t>
      </w:r>
      <w:r w:rsidR="00AA7DBB">
        <w:t xml:space="preserve"> </w:t>
      </w:r>
      <w:r w:rsidR="007D0853">
        <w:t xml:space="preserve">16(12):2043 (December 2019), </w:t>
      </w:r>
      <w:hyperlink r:id="rId13" w:history="1">
        <w:r w:rsidR="00AA7DBB">
          <w:rPr>
            <w:rStyle w:val="Hyperlink"/>
          </w:rPr>
          <w:t>https://www.jsm.jsexmed.org/article/S1743-6095(19)31424-9/fulltext</w:t>
        </w:r>
      </w:hyperlink>
      <w:r w:rsidR="00AA7DBB">
        <w:t>.</w:t>
      </w:r>
    </w:p>
  </w:endnote>
  <w:endnote w:id="29">
    <w:p w14:paraId="69E1E398" w14:textId="04942958" w:rsidR="008733BE" w:rsidRDefault="008733BE" w:rsidP="00D81B03">
      <w:pPr>
        <w:pStyle w:val="EndnoteText"/>
      </w:pPr>
      <w:r>
        <w:rPr>
          <w:rStyle w:val="EndnoteReference"/>
        </w:rPr>
        <w:endnoteRef/>
      </w:r>
      <w:r>
        <w:t xml:space="preserve"> </w:t>
      </w:r>
      <w:r w:rsidR="00D81B03">
        <w:t xml:space="preserve">Lena </w:t>
      </w:r>
      <w:proofErr w:type="spellStart"/>
      <w:r w:rsidR="00D81B03">
        <w:t>Jellestad</w:t>
      </w:r>
      <w:proofErr w:type="spellEnd"/>
      <w:r w:rsidR="00D81B03">
        <w:t xml:space="preserve">, et al., “Quality of Life in Transitioned Trans Persons: A Retrospective Cross-Sectional Cohort Study” </w:t>
      </w:r>
      <w:r w:rsidR="001C655C" w:rsidRPr="001C655C">
        <w:rPr>
          <w:i/>
          <w:iCs/>
        </w:rPr>
        <w:t>BioMed Research International</w:t>
      </w:r>
      <w:r w:rsidR="001C655C">
        <w:t xml:space="preserve"> (2018), </w:t>
      </w:r>
      <w:r w:rsidR="001C655C" w:rsidRPr="001C655C">
        <w:t>https://www.ncbi.nlm.nih.gov/pmc/articles/PMC5925023/pdf/BMRI2018-8684625.pdf</w:t>
      </w:r>
      <w:r w:rsidR="001C655C">
        <w:t>.</w:t>
      </w:r>
    </w:p>
  </w:endnote>
  <w:endnote w:id="30">
    <w:p w14:paraId="30AB4EC8" w14:textId="42D9E9EB" w:rsidR="00832A4F" w:rsidRDefault="00832A4F">
      <w:pPr>
        <w:pStyle w:val="EndnoteText"/>
      </w:pPr>
      <w:r>
        <w:rPr>
          <w:rStyle w:val="EndnoteReference"/>
        </w:rPr>
        <w:endnoteRef/>
      </w:r>
      <w:r>
        <w:t xml:space="preserve"> </w:t>
      </w:r>
      <w:r w:rsidR="00616D4D">
        <w:t>Kristina R. Olson, “</w:t>
      </w:r>
      <w:r w:rsidR="00616D4D" w:rsidRPr="00616D4D">
        <w:t>Mental Health of Transgender Children Who Are Supported in Their Identities</w:t>
      </w:r>
      <w:r w:rsidR="00616D4D">
        <w:t xml:space="preserve">” </w:t>
      </w:r>
      <w:r w:rsidR="0044776D" w:rsidRPr="007E5CFC">
        <w:rPr>
          <w:i/>
          <w:iCs/>
        </w:rPr>
        <w:t>Pediatrics</w:t>
      </w:r>
      <w:r w:rsidR="0044776D">
        <w:t xml:space="preserve"> 137(3):</w:t>
      </w:r>
      <w:r w:rsidR="0044776D" w:rsidRPr="0044776D">
        <w:t xml:space="preserve"> e20153223</w:t>
      </w:r>
      <w:r w:rsidR="0044776D">
        <w:t xml:space="preserve"> </w:t>
      </w:r>
      <w:r w:rsidR="00DB6E02">
        <w:t xml:space="preserve">(March 2016), </w:t>
      </w:r>
      <w:hyperlink r:id="rId14" w:history="1">
        <w:r w:rsidR="00DB6E02">
          <w:rPr>
            <w:rStyle w:val="Hyperlink"/>
          </w:rPr>
          <w:t>https://pediatrics.aappublications.org/content/137/3/e20153223</w:t>
        </w:r>
      </w:hyperlink>
      <w:r w:rsidR="00DB6E02">
        <w:t>.</w:t>
      </w:r>
    </w:p>
  </w:endnote>
  <w:endnote w:id="31">
    <w:p w14:paraId="137E629B" w14:textId="64BBC1BC" w:rsidR="005245F7" w:rsidRDefault="005245F7">
      <w:pPr>
        <w:pStyle w:val="EndnoteText"/>
      </w:pPr>
      <w:r>
        <w:rPr>
          <w:rStyle w:val="EndnoteReference"/>
        </w:rPr>
        <w:endnoteRef/>
      </w:r>
      <w:r>
        <w:t xml:space="preserve"> Lily </w:t>
      </w:r>
      <w:proofErr w:type="spellStart"/>
      <w:r>
        <w:t>Durwood</w:t>
      </w:r>
      <w:proofErr w:type="spellEnd"/>
      <w:r>
        <w:t xml:space="preserve">, et al., </w:t>
      </w:r>
      <w:r w:rsidR="00694576">
        <w:t>“</w:t>
      </w:r>
      <w:r w:rsidR="00694576" w:rsidRPr="00694576">
        <w:t>Mental Health and Self-Worth in Socially Transitioned Transgender Youth</w:t>
      </w:r>
      <w:r w:rsidR="00694576">
        <w:t xml:space="preserve">” </w:t>
      </w:r>
      <w:r w:rsidR="00694576" w:rsidRPr="005F3B94">
        <w:rPr>
          <w:i/>
          <w:iCs/>
        </w:rPr>
        <w:t xml:space="preserve">Journal of the American Academy of </w:t>
      </w:r>
      <w:r w:rsidR="00CE2358" w:rsidRPr="005F3B94">
        <w:rPr>
          <w:i/>
          <w:iCs/>
        </w:rPr>
        <w:t>Child &amp; Adolescent Psychiatry</w:t>
      </w:r>
      <w:r w:rsidR="00393CDC">
        <w:t xml:space="preserve"> 56(2):116-123 (February 2017)</w:t>
      </w:r>
      <w:r w:rsidR="007D3F80">
        <w:t xml:space="preserve">, </w:t>
      </w:r>
      <w:hyperlink r:id="rId15" w:history="1">
        <w:r w:rsidR="007D3F80">
          <w:rPr>
            <w:rStyle w:val="Hyperlink"/>
          </w:rPr>
          <w:t>https://www.ncbi.nlm.nih.gov/pmc/articles/PMC5302003/</w:t>
        </w:r>
      </w:hyperlink>
      <w:r w:rsidR="007D3F80">
        <w:t>.</w:t>
      </w:r>
    </w:p>
  </w:endnote>
  <w:endnote w:id="32">
    <w:p w14:paraId="3BB329A7" w14:textId="323560C9" w:rsidR="00753411" w:rsidRDefault="00753411">
      <w:pPr>
        <w:pStyle w:val="EndnoteText"/>
      </w:pPr>
      <w:r>
        <w:rPr>
          <w:rStyle w:val="EndnoteReference"/>
        </w:rPr>
        <w:endnoteRef/>
      </w:r>
      <w:r>
        <w:t xml:space="preserve"> </w:t>
      </w:r>
      <w:r w:rsidR="00DB4EF7">
        <w:t>Walter Schumm</w:t>
      </w:r>
      <w:r w:rsidR="00FB25EE">
        <w:t xml:space="preserve"> &amp; Duane W. </w:t>
      </w:r>
      <w:r w:rsidR="000D7082">
        <w:t>Crawford, “</w:t>
      </w:r>
      <w:r w:rsidR="000D7082" w:rsidRPr="000D7082">
        <w:t>Is Research on Transgender Children What It Seems? Comments on Recent Research on Transgender Children with High Levels of Parental Support</w:t>
      </w:r>
      <w:r w:rsidR="000D7082">
        <w:t xml:space="preserve">” </w:t>
      </w:r>
      <w:r w:rsidR="000D7082" w:rsidRPr="001E0E3E">
        <w:rPr>
          <w:i/>
          <w:iCs/>
        </w:rPr>
        <w:t>The Linacre Quarterly</w:t>
      </w:r>
      <w:r w:rsidR="000D7082">
        <w:t xml:space="preserve"> </w:t>
      </w:r>
      <w:r w:rsidR="00362324">
        <w:t xml:space="preserve">87(1):9-24 (2020), </w:t>
      </w:r>
      <w:hyperlink r:id="rId16" w:history="1">
        <w:r w:rsidR="005F69BA">
          <w:rPr>
            <w:rStyle w:val="Hyperlink"/>
          </w:rPr>
          <w:t>https://journals.sagepub.com/doi/10.1177/0024363919884799</w:t>
        </w:r>
      </w:hyperlink>
      <w:r w:rsidR="005F69BA">
        <w:t>.</w:t>
      </w:r>
    </w:p>
  </w:endnote>
  <w:endnote w:id="33">
    <w:p w14:paraId="3D250EDA" w14:textId="2E871844" w:rsidR="00B665FB" w:rsidRDefault="00B665FB">
      <w:pPr>
        <w:pStyle w:val="EndnoteText"/>
      </w:pPr>
      <w:r>
        <w:rPr>
          <w:rStyle w:val="EndnoteReference"/>
        </w:rPr>
        <w:endnoteRef/>
      </w:r>
      <w:r>
        <w:t xml:space="preserve"> Geraldine </w:t>
      </w:r>
      <w:proofErr w:type="spellStart"/>
      <w:r>
        <w:t>Weinforth</w:t>
      </w:r>
      <w:proofErr w:type="spellEnd"/>
      <w:r>
        <w:t>, et al., “</w:t>
      </w:r>
      <w:r w:rsidR="004954F4" w:rsidRPr="004954F4">
        <w:t>Quality of Life Following Male-To-Female Sex Reassignment Surgery</w:t>
      </w:r>
      <w:r>
        <w:t>”</w:t>
      </w:r>
      <w:r w:rsidR="004954F4">
        <w:t xml:space="preserve"> </w:t>
      </w:r>
      <w:proofErr w:type="spellStart"/>
      <w:r w:rsidR="004954F4" w:rsidRPr="0091303F">
        <w:rPr>
          <w:i/>
          <w:iCs/>
        </w:rPr>
        <w:t>Deutsches</w:t>
      </w:r>
      <w:proofErr w:type="spellEnd"/>
      <w:r w:rsidR="004954F4" w:rsidRPr="0091303F">
        <w:rPr>
          <w:i/>
          <w:iCs/>
        </w:rPr>
        <w:t xml:space="preserve"> </w:t>
      </w:r>
      <w:proofErr w:type="spellStart"/>
      <w:r w:rsidR="004954F4" w:rsidRPr="0091303F">
        <w:rPr>
          <w:i/>
          <w:iCs/>
        </w:rPr>
        <w:t>Arzteblatt</w:t>
      </w:r>
      <w:proofErr w:type="spellEnd"/>
      <w:r w:rsidR="00E40DC0" w:rsidRPr="0091303F">
        <w:rPr>
          <w:i/>
          <w:iCs/>
        </w:rPr>
        <w:t xml:space="preserve"> International</w:t>
      </w:r>
      <w:r w:rsidR="00E40DC0">
        <w:t xml:space="preserve"> 116(15):</w:t>
      </w:r>
      <w:r w:rsidR="0091303F">
        <w:t xml:space="preserve">253-260 </w:t>
      </w:r>
      <w:r w:rsidR="00E40DC0">
        <w:t xml:space="preserve">(April 2019), </w:t>
      </w:r>
      <w:r w:rsidR="00E40DC0" w:rsidRPr="00E40DC0">
        <w:t>https://www.ncbi.nlm.nih.gov/pmc/articles/PMC6546862/</w:t>
      </w:r>
      <w:r w:rsidR="00E40DC0">
        <w:t>.</w:t>
      </w:r>
    </w:p>
  </w:endnote>
  <w:endnote w:id="34">
    <w:p w14:paraId="28942294" w14:textId="77777777" w:rsidR="00B95A69" w:rsidRPr="001E0E3E" w:rsidRDefault="00B95A69" w:rsidP="00B95A69">
      <w:pPr>
        <w:pStyle w:val="EndnoteText"/>
        <w:spacing w:before="0" w:beforeAutospacing="0" w:after="0" w:afterAutospacing="0"/>
      </w:pPr>
      <w:r w:rsidRPr="001E0E3E">
        <w:rPr>
          <w:rStyle w:val="EndnoteReference"/>
        </w:rPr>
        <w:endnoteRef/>
      </w:r>
      <w:r w:rsidRPr="001E0E3E">
        <w:t xml:space="preserve"> Annette Kuhn, et al., “Quality of life 15 years after sex reassignment surgery for transsexualism” </w:t>
      </w:r>
      <w:r w:rsidRPr="001E0E3E">
        <w:rPr>
          <w:i/>
          <w:iCs/>
        </w:rPr>
        <w:t>Fertility &amp; Sterility</w:t>
      </w:r>
      <w:r w:rsidRPr="001E0E3E">
        <w:t xml:space="preserve"> 92(5):1685-1689 (November 2009), </w:t>
      </w:r>
      <w:hyperlink r:id="rId17" w:history="1">
        <w:r w:rsidRPr="001E0E3E">
          <w:rPr>
            <w:rStyle w:val="Hyperlink"/>
          </w:rPr>
          <w:t>https://www.fertstert.org/article/S0015-0282(08)03838-7/pdf</w:t>
        </w:r>
      </w:hyperlink>
      <w:r w:rsidRPr="001E0E3E">
        <w:t>.</w:t>
      </w:r>
    </w:p>
  </w:endnote>
  <w:endnote w:id="35">
    <w:p w14:paraId="4261CD0E" w14:textId="7E293451" w:rsidR="00096088" w:rsidRDefault="00096088">
      <w:pPr>
        <w:pStyle w:val="EndnoteText"/>
      </w:pPr>
      <w:r>
        <w:rPr>
          <w:rStyle w:val="EndnoteReference"/>
        </w:rPr>
        <w:endnoteRef/>
      </w:r>
      <w:r>
        <w:t xml:space="preserve"> </w:t>
      </w:r>
      <w:proofErr w:type="spellStart"/>
      <w:r w:rsidRPr="00096088">
        <w:t>Wouter</w:t>
      </w:r>
      <w:proofErr w:type="spellEnd"/>
      <w:r w:rsidRPr="00096088">
        <w:t xml:space="preserve"> B van der </w:t>
      </w:r>
      <w:proofErr w:type="spellStart"/>
      <w:r w:rsidRPr="00096088">
        <w:t>Sluis</w:t>
      </w:r>
      <w:proofErr w:type="spellEnd"/>
      <w:r>
        <w:t>, et al., “</w:t>
      </w:r>
      <w:r w:rsidR="001E0E3E" w:rsidRPr="001E0E3E">
        <w:t>Long-Term Follow-Up of Transgender Women After Secondary Intestinal Vaginoplasty</w:t>
      </w:r>
      <w:r>
        <w:t>”</w:t>
      </w:r>
      <w:r w:rsidR="002A2955">
        <w:t xml:space="preserve"> </w:t>
      </w:r>
      <w:r w:rsidR="002A2955" w:rsidRPr="001E0E3E">
        <w:rPr>
          <w:i/>
          <w:iCs/>
        </w:rPr>
        <w:t>Journal of Sexual Medicine</w:t>
      </w:r>
      <w:r w:rsidR="002A2955">
        <w:t xml:space="preserve"> </w:t>
      </w:r>
      <w:r w:rsidR="002A2955" w:rsidRPr="002A2955">
        <w:t>13(4):702-</w:t>
      </w:r>
      <w:r w:rsidR="002A2955">
        <w:t>7</w:t>
      </w:r>
      <w:r w:rsidR="002A2955" w:rsidRPr="002A2955">
        <w:t>10</w:t>
      </w:r>
      <w:r w:rsidR="002A2955">
        <w:t xml:space="preserve"> (April 2016), </w:t>
      </w:r>
      <w:r w:rsidR="001E0E3E" w:rsidRPr="001E0E3E">
        <w:t>https://pubmed.ncbi.nlm.nih.gov/26928775/</w:t>
      </w:r>
      <w:r w:rsidR="001E0E3E">
        <w:t>.</w:t>
      </w:r>
    </w:p>
  </w:endnote>
  <w:endnote w:id="36">
    <w:p w14:paraId="69F56F5E" w14:textId="5EFB2E85" w:rsidR="00197F9A" w:rsidRDefault="00197F9A">
      <w:pPr>
        <w:pStyle w:val="EndnoteText"/>
      </w:pPr>
      <w:r>
        <w:rPr>
          <w:rStyle w:val="EndnoteReference"/>
        </w:rPr>
        <w:endnoteRef/>
      </w:r>
      <w:r>
        <w:t xml:space="preserve"> </w:t>
      </w:r>
      <w:r w:rsidR="00D07038">
        <w:t xml:space="preserve">Royal College of General Practitioners, “The role of the GP in caring for gender-questioning and transgender patients” (June 2019) at 5, </w:t>
      </w:r>
      <w:hyperlink r:id="rId18" w:history="1">
        <w:r w:rsidR="00D07038">
          <w:rPr>
            <w:rStyle w:val="Hyperlink"/>
          </w:rPr>
          <w:t>https://www.rcgp.org.uk/-/media/Files/Policy/A-Z-policy/2019/RCGP-position-statement-providing-care-for-gender-transgender-patients-june-2019.ashx?la=en</w:t>
        </w:r>
      </w:hyperlink>
      <w:r w:rsidR="00D07038">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8DDE8" w14:textId="7B5E999B" w:rsidR="009C23DF" w:rsidRDefault="009C23D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310AF763" wp14:editId="57809846">
              <wp:simplePos x="0" y="0"/>
              <wp:positionH relativeFrom="page">
                <wp:posOffset>3771900</wp:posOffset>
              </wp:positionH>
              <wp:positionV relativeFrom="page">
                <wp:posOffset>9418320</wp:posOffset>
              </wp:positionV>
              <wp:extent cx="228600" cy="1943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97758" w14:textId="77777777" w:rsidR="009C23DF" w:rsidRDefault="009C23DF">
                          <w:pPr>
                            <w:spacing w:before="10"/>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AF763" id="_x0000_t202" coordsize="21600,21600" o:spt="202" path="m,l,21600r21600,l21600,xe">
              <v:stroke joinstyle="miter"/>
              <v:path gradientshapeok="t" o:connecttype="rect"/>
            </v:shapetype>
            <v:shape id="Text Box 11" o:spid="_x0000_s1026" type="#_x0000_t202" style="position:absolute;margin-left:297pt;margin-top:741.6pt;width:18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" filled="f" stroked="f">
              <v:textbox inset="0,0,0,0">
                <w:txbxContent>
                  <w:p w14:paraId="77D97758" w14:textId="77777777" w:rsidR="009C23DF" w:rsidRDefault="009C23DF">
                    <w:pPr>
                      <w:spacing w:before="10"/>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A693C" w14:textId="77777777" w:rsidR="0021444D" w:rsidRDefault="0021444D">
      <w:r>
        <w:separator/>
      </w:r>
    </w:p>
  </w:footnote>
  <w:footnote w:type="continuationSeparator" w:id="0">
    <w:p w14:paraId="52833C17" w14:textId="77777777" w:rsidR="0021444D" w:rsidRDefault="0021444D">
      <w:r>
        <w:continuationSeparator/>
      </w:r>
    </w:p>
  </w:footnote>
  <w:footnote w:type="continuationNotice" w:id="1">
    <w:p w14:paraId="4DAEF00A" w14:textId="77777777" w:rsidR="0021444D" w:rsidRDefault="002144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8A68C" w14:textId="2CDFCC8E" w:rsidR="007102D3" w:rsidRDefault="007102D3">
    <w:pPr>
      <w:pStyle w:val="Header"/>
    </w:pPr>
  </w:p>
  <w:p w14:paraId="49FE5E5C" w14:textId="77777777" w:rsidR="009C23DF" w:rsidRDefault="009C23DF">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58" type="#_x0000_t75" style="width:3in;height:3in" o:bullet="t"/>
    </w:pict>
  </w:numPicBullet>
  <w:numPicBullet w:numPicBulletId="1">
    <w:pict>
      <v:shape id="_x0000_i1459" type="#_x0000_t75" style="width:3in;height:3in" o:bullet="t"/>
    </w:pict>
  </w:numPicBullet>
  <w:numPicBullet w:numPicBulletId="2">
    <w:pict>
      <v:shape id="_x0000_i1460" type="#_x0000_t75" style="width:3in;height:3in" o:bullet="t"/>
    </w:pict>
  </w:numPicBullet>
  <w:numPicBullet w:numPicBulletId="3">
    <w:pict>
      <v:shape id="_x0000_i1461" type="#_x0000_t75" style="width:3in;height:3in" o:bullet="t"/>
    </w:pict>
  </w:numPicBullet>
  <w:numPicBullet w:numPicBulletId="4">
    <w:pict>
      <v:shape id="_x0000_i1462" type="#_x0000_t75" style="width:3in;height:3in" o:bullet="t"/>
    </w:pict>
  </w:numPicBullet>
  <w:numPicBullet w:numPicBulletId="5">
    <w:pict>
      <v:shape id="_x0000_i1463" type="#_x0000_t75" style="width:3in;height:3in" o:bullet="t"/>
    </w:pict>
  </w:numPicBullet>
  <w:abstractNum w:abstractNumId="0" w15:restartNumberingAfterBreak="0">
    <w:nsid w:val="005905D0"/>
    <w:multiLevelType w:val="hybridMultilevel"/>
    <w:tmpl w:val="C5B2DDF4"/>
    <w:lvl w:ilvl="0" w:tplc="7A3EFC12">
      <w:start w:val="3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68F5794"/>
    <w:multiLevelType w:val="hybridMultilevel"/>
    <w:tmpl w:val="8D382F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C973DB7"/>
    <w:multiLevelType w:val="hybridMultilevel"/>
    <w:tmpl w:val="BBD8E64C"/>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E2B4571"/>
    <w:multiLevelType w:val="hybridMultilevel"/>
    <w:tmpl w:val="DFA8F0AE"/>
    <w:lvl w:ilvl="0" w:tplc="ECE813C6">
      <w:start w:val="33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D668FF"/>
    <w:multiLevelType w:val="hybridMultilevel"/>
    <w:tmpl w:val="8B2C8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AC0C5A"/>
    <w:multiLevelType w:val="hybridMultilevel"/>
    <w:tmpl w:val="15D27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612EFD"/>
    <w:multiLevelType w:val="hybridMultilevel"/>
    <w:tmpl w:val="CC4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03A47"/>
    <w:multiLevelType w:val="hybridMultilevel"/>
    <w:tmpl w:val="8B548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DA1ABF"/>
    <w:multiLevelType w:val="multilevel"/>
    <w:tmpl w:val="AE98A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D64838"/>
    <w:multiLevelType w:val="hybridMultilevel"/>
    <w:tmpl w:val="AB18622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1F070F8E"/>
    <w:multiLevelType w:val="multilevel"/>
    <w:tmpl w:val="E706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147986"/>
    <w:multiLevelType w:val="multilevel"/>
    <w:tmpl w:val="AA40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B92318"/>
    <w:multiLevelType w:val="multilevel"/>
    <w:tmpl w:val="0658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511A04"/>
    <w:multiLevelType w:val="multilevel"/>
    <w:tmpl w:val="6B564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6401E2"/>
    <w:multiLevelType w:val="multilevel"/>
    <w:tmpl w:val="EF704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B36DA2"/>
    <w:multiLevelType w:val="hybridMultilevel"/>
    <w:tmpl w:val="7C16B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0816DF"/>
    <w:multiLevelType w:val="multilevel"/>
    <w:tmpl w:val="4F90970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3731EF"/>
    <w:multiLevelType w:val="hybridMultilevel"/>
    <w:tmpl w:val="AFBA2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893AE8"/>
    <w:multiLevelType w:val="hybridMultilevel"/>
    <w:tmpl w:val="3998E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A17A9D"/>
    <w:multiLevelType w:val="hybridMultilevel"/>
    <w:tmpl w:val="688C5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44042AE"/>
    <w:multiLevelType w:val="hybridMultilevel"/>
    <w:tmpl w:val="BC50C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58610CA"/>
    <w:multiLevelType w:val="multilevel"/>
    <w:tmpl w:val="8BA2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6962FD"/>
    <w:multiLevelType w:val="hybridMultilevel"/>
    <w:tmpl w:val="80222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88A4800"/>
    <w:multiLevelType w:val="hybridMultilevel"/>
    <w:tmpl w:val="F6AA9CF2"/>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38B35D15"/>
    <w:multiLevelType w:val="hybridMultilevel"/>
    <w:tmpl w:val="F4948FFA"/>
    <w:lvl w:ilvl="0" w:tplc="8A901EFC">
      <w:numFmt w:val="bullet"/>
      <w:lvlText w:val=""/>
      <w:lvlJc w:val="left"/>
      <w:pPr>
        <w:ind w:left="720" w:hanging="360"/>
      </w:pPr>
      <w:rPr>
        <w:rFonts w:ascii="Symbol" w:eastAsia="Arial Unicode MS"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3A697C10"/>
    <w:multiLevelType w:val="hybridMultilevel"/>
    <w:tmpl w:val="8F9848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A883C40"/>
    <w:multiLevelType w:val="multilevel"/>
    <w:tmpl w:val="6C4AD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DD30E7D"/>
    <w:multiLevelType w:val="multilevel"/>
    <w:tmpl w:val="F9D85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210427"/>
    <w:multiLevelType w:val="multilevel"/>
    <w:tmpl w:val="0262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3D46EAF"/>
    <w:multiLevelType w:val="multilevel"/>
    <w:tmpl w:val="D98E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CB49AF"/>
    <w:multiLevelType w:val="hybridMultilevel"/>
    <w:tmpl w:val="83FA938A"/>
    <w:lvl w:ilvl="0" w:tplc="0A62AD22">
      <w:numFmt w:val="bullet"/>
      <w:lvlText w:val=""/>
      <w:lvlJc w:val="left"/>
      <w:pPr>
        <w:ind w:left="720" w:hanging="360"/>
      </w:pPr>
      <w:rPr>
        <w:rFonts w:ascii="Symbol" w:eastAsia="Arial Unicode MS" w:hAnsi="Symbol"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8CC0567"/>
    <w:multiLevelType w:val="hybridMultilevel"/>
    <w:tmpl w:val="F0F0E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626FE0"/>
    <w:multiLevelType w:val="hybridMultilevel"/>
    <w:tmpl w:val="55004BFE"/>
    <w:lvl w:ilvl="0" w:tplc="E516FD9C">
      <w:numFmt w:val="bullet"/>
      <w:lvlText w:val="–"/>
      <w:lvlJc w:val="left"/>
      <w:pPr>
        <w:ind w:left="1800" w:hanging="240"/>
      </w:pPr>
      <w:rPr>
        <w:rFonts w:ascii="Times New Roman" w:eastAsia="Times New Roman" w:hAnsi="Times New Roman" w:cs="Times New Roman" w:hint="default"/>
        <w:spacing w:val="-2"/>
        <w:w w:val="97"/>
        <w:sz w:val="24"/>
        <w:szCs w:val="24"/>
      </w:rPr>
    </w:lvl>
    <w:lvl w:ilvl="1" w:tplc="10FC1A72">
      <w:start w:val="1"/>
      <w:numFmt w:val="decimal"/>
      <w:lvlText w:val="(%2)"/>
      <w:lvlJc w:val="left"/>
      <w:pPr>
        <w:ind w:left="2440" w:hanging="341"/>
      </w:pPr>
      <w:rPr>
        <w:rFonts w:ascii="Times New Roman" w:eastAsia="Times New Roman" w:hAnsi="Times New Roman" w:cs="Times New Roman" w:hint="default"/>
        <w:spacing w:val="-2"/>
        <w:w w:val="99"/>
        <w:sz w:val="24"/>
        <w:szCs w:val="24"/>
      </w:rPr>
    </w:lvl>
    <w:lvl w:ilvl="2" w:tplc="E19CDE6A">
      <w:numFmt w:val="bullet"/>
      <w:lvlText w:val="•"/>
      <w:lvlJc w:val="left"/>
      <w:pPr>
        <w:ind w:left="3513" w:hanging="341"/>
      </w:pPr>
      <w:rPr>
        <w:rFonts w:hint="default"/>
      </w:rPr>
    </w:lvl>
    <w:lvl w:ilvl="3" w:tplc="201667B4">
      <w:numFmt w:val="bullet"/>
      <w:lvlText w:val="•"/>
      <w:lvlJc w:val="left"/>
      <w:pPr>
        <w:ind w:left="4586" w:hanging="341"/>
      </w:pPr>
      <w:rPr>
        <w:rFonts w:hint="default"/>
      </w:rPr>
    </w:lvl>
    <w:lvl w:ilvl="4" w:tplc="FE7EE3BC">
      <w:numFmt w:val="bullet"/>
      <w:lvlText w:val="•"/>
      <w:lvlJc w:val="left"/>
      <w:pPr>
        <w:ind w:left="5660" w:hanging="341"/>
      </w:pPr>
      <w:rPr>
        <w:rFonts w:hint="default"/>
      </w:rPr>
    </w:lvl>
    <w:lvl w:ilvl="5" w:tplc="4B706B5C">
      <w:numFmt w:val="bullet"/>
      <w:lvlText w:val="•"/>
      <w:lvlJc w:val="left"/>
      <w:pPr>
        <w:ind w:left="6733" w:hanging="341"/>
      </w:pPr>
      <w:rPr>
        <w:rFonts w:hint="default"/>
      </w:rPr>
    </w:lvl>
    <w:lvl w:ilvl="6" w:tplc="03AE9D66">
      <w:numFmt w:val="bullet"/>
      <w:lvlText w:val="•"/>
      <w:lvlJc w:val="left"/>
      <w:pPr>
        <w:ind w:left="7806" w:hanging="341"/>
      </w:pPr>
      <w:rPr>
        <w:rFonts w:hint="default"/>
      </w:rPr>
    </w:lvl>
    <w:lvl w:ilvl="7" w:tplc="C3FC2D70">
      <w:numFmt w:val="bullet"/>
      <w:lvlText w:val="•"/>
      <w:lvlJc w:val="left"/>
      <w:pPr>
        <w:ind w:left="8880" w:hanging="341"/>
      </w:pPr>
      <w:rPr>
        <w:rFonts w:hint="default"/>
      </w:rPr>
    </w:lvl>
    <w:lvl w:ilvl="8" w:tplc="A9BC13F6">
      <w:numFmt w:val="bullet"/>
      <w:lvlText w:val="•"/>
      <w:lvlJc w:val="left"/>
      <w:pPr>
        <w:ind w:left="9953" w:hanging="341"/>
      </w:pPr>
      <w:rPr>
        <w:rFonts w:hint="default"/>
      </w:rPr>
    </w:lvl>
  </w:abstractNum>
  <w:abstractNum w:abstractNumId="33" w15:restartNumberingAfterBreak="0">
    <w:nsid w:val="4AC70262"/>
    <w:multiLevelType w:val="hybridMultilevel"/>
    <w:tmpl w:val="629C7236"/>
    <w:lvl w:ilvl="0" w:tplc="1358691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EF202B"/>
    <w:multiLevelType w:val="multilevel"/>
    <w:tmpl w:val="6CCE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E4C0EA7"/>
    <w:multiLevelType w:val="multilevel"/>
    <w:tmpl w:val="834E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EC06DC2"/>
    <w:multiLevelType w:val="hybridMultilevel"/>
    <w:tmpl w:val="DF52F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EC262D"/>
    <w:multiLevelType w:val="multilevel"/>
    <w:tmpl w:val="701096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684583D"/>
    <w:multiLevelType w:val="multilevel"/>
    <w:tmpl w:val="D7E89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3854385"/>
    <w:multiLevelType w:val="hybridMultilevel"/>
    <w:tmpl w:val="211EE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9631DE"/>
    <w:multiLevelType w:val="multilevel"/>
    <w:tmpl w:val="AB36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9332A4E"/>
    <w:multiLevelType w:val="multilevel"/>
    <w:tmpl w:val="4E185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8F1DBC"/>
    <w:multiLevelType w:val="multilevel"/>
    <w:tmpl w:val="D43A7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B9D2EBA"/>
    <w:multiLevelType w:val="multilevel"/>
    <w:tmpl w:val="A646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6CD50575"/>
    <w:multiLevelType w:val="hybridMultilevel"/>
    <w:tmpl w:val="06E27876"/>
    <w:lvl w:ilvl="0" w:tplc="AA667EC8">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3316CE"/>
    <w:multiLevelType w:val="multilevel"/>
    <w:tmpl w:val="2772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340DBB"/>
    <w:multiLevelType w:val="multilevel"/>
    <w:tmpl w:val="E33C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5756049"/>
    <w:multiLevelType w:val="hybridMultilevel"/>
    <w:tmpl w:val="265618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E462988"/>
    <w:multiLevelType w:val="multilevel"/>
    <w:tmpl w:val="F600E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48"/>
  </w:num>
  <w:num w:numId="3">
    <w:abstractNumId w:val="14"/>
  </w:num>
  <w:num w:numId="4">
    <w:abstractNumId w:val="35"/>
  </w:num>
  <w:num w:numId="5">
    <w:abstractNumId w:val="28"/>
  </w:num>
  <w:num w:numId="6">
    <w:abstractNumId w:val="8"/>
  </w:num>
  <w:num w:numId="7">
    <w:abstractNumId w:val="41"/>
  </w:num>
  <w:num w:numId="8">
    <w:abstractNumId w:val="38"/>
  </w:num>
  <w:num w:numId="9">
    <w:abstractNumId w:val="21"/>
  </w:num>
  <w:num w:numId="10">
    <w:abstractNumId w:val="12"/>
  </w:num>
  <w:num w:numId="11">
    <w:abstractNumId w:val="46"/>
  </w:num>
  <w:num w:numId="12">
    <w:abstractNumId w:val="26"/>
  </w:num>
  <w:num w:numId="13">
    <w:abstractNumId w:val="43"/>
  </w:num>
  <w:num w:numId="14">
    <w:abstractNumId w:val="37"/>
  </w:num>
  <w:num w:numId="15">
    <w:abstractNumId w:val="16"/>
  </w:num>
  <w:num w:numId="16">
    <w:abstractNumId w:val="10"/>
  </w:num>
  <w:num w:numId="17">
    <w:abstractNumId w:val="42"/>
  </w:num>
  <w:num w:numId="18">
    <w:abstractNumId w:val="13"/>
  </w:num>
  <w:num w:numId="19">
    <w:abstractNumId w:val="40"/>
  </w:num>
  <w:num w:numId="20">
    <w:abstractNumId w:val="7"/>
  </w:num>
  <w:num w:numId="21">
    <w:abstractNumId w:val="22"/>
  </w:num>
  <w:num w:numId="22">
    <w:abstractNumId w:val="36"/>
  </w:num>
  <w:num w:numId="23">
    <w:abstractNumId w:val="33"/>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1"/>
  </w:num>
  <w:num w:numId="27">
    <w:abstractNumId w:val="45"/>
  </w:num>
  <w:num w:numId="28">
    <w:abstractNumId w:val="34"/>
  </w:num>
  <w:num w:numId="29">
    <w:abstractNumId w:val="39"/>
  </w:num>
  <w:num w:numId="30">
    <w:abstractNumId w:val="44"/>
  </w:num>
  <w:num w:numId="31">
    <w:abstractNumId w:val="6"/>
  </w:num>
  <w:num w:numId="32">
    <w:abstractNumId w:val="4"/>
  </w:num>
  <w:num w:numId="33">
    <w:abstractNumId w:val="17"/>
  </w:num>
  <w:num w:numId="34">
    <w:abstractNumId w:val="24"/>
  </w:num>
  <w:num w:numId="35">
    <w:abstractNumId w:val="30"/>
  </w:num>
  <w:num w:numId="36">
    <w:abstractNumId w:val="0"/>
  </w:num>
  <w:num w:numId="37">
    <w:abstractNumId w:val="3"/>
  </w:num>
  <w:num w:numId="38">
    <w:abstractNumId w:val="20"/>
  </w:num>
  <w:num w:numId="39">
    <w:abstractNumId w:val="15"/>
  </w:num>
  <w:num w:numId="40">
    <w:abstractNumId w:val="9"/>
  </w:num>
  <w:num w:numId="41">
    <w:abstractNumId w:val="32"/>
  </w:num>
  <w:num w:numId="42">
    <w:abstractNumId w:val="23"/>
  </w:num>
  <w:num w:numId="43">
    <w:abstractNumId w:val="2"/>
  </w:num>
  <w:num w:numId="44">
    <w:abstractNumId w:val="18"/>
  </w:num>
  <w:num w:numId="45">
    <w:abstractNumId w:val="47"/>
  </w:num>
  <w:num w:numId="46">
    <w:abstractNumId w:val="1"/>
  </w:num>
  <w:num w:numId="47">
    <w:abstractNumId w:val="19"/>
  </w:num>
  <w:num w:numId="48">
    <w:abstractNumId w:val="5"/>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C8"/>
    <w:rsid w:val="0000184E"/>
    <w:rsid w:val="00001FC8"/>
    <w:rsid w:val="00002987"/>
    <w:rsid w:val="00003077"/>
    <w:rsid w:val="0000366D"/>
    <w:rsid w:val="000064D7"/>
    <w:rsid w:val="00006CD9"/>
    <w:rsid w:val="000077F4"/>
    <w:rsid w:val="00011639"/>
    <w:rsid w:val="000116DA"/>
    <w:rsid w:val="000119CB"/>
    <w:rsid w:val="00011DF1"/>
    <w:rsid w:val="00014385"/>
    <w:rsid w:val="000149C8"/>
    <w:rsid w:val="000215B3"/>
    <w:rsid w:val="000225C3"/>
    <w:rsid w:val="00022DF8"/>
    <w:rsid w:val="000250DD"/>
    <w:rsid w:val="00026FC4"/>
    <w:rsid w:val="00030BD7"/>
    <w:rsid w:val="00031E10"/>
    <w:rsid w:val="00036A7F"/>
    <w:rsid w:val="00036E39"/>
    <w:rsid w:val="000402F6"/>
    <w:rsid w:val="00041C7D"/>
    <w:rsid w:val="00042A10"/>
    <w:rsid w:val="00052DCC"/>
    <w:rsid w:val="0005314C"/>
    <w:rsid w:val="0005365E"/>
    <w:rsid w:val="00053FA2"/>
    <w:rsid w:val="00056429"/>
    <w:rsid w:val="000573CA"/>
    <w:rsid w:val="000579FC"/>
    <w:rsid w:val="000612B6"/>
    <w:rsid w:val="00062EC1"/>
    <w:rsid w:val="00065131"/>
    <w:rsid w:val="00067DBF"/>
    <w:rsid w:val="00070B8C"/>
    <w:rsid w:val="00071337"/>
    <w:rsid w:val="00074545"/>
    <w:rsid w:val="00074ABC"/>
    <w:rsid w:val="00074FBF"/>
    <w:rsid w:val="00075EF9"/>
    <w:rsid w:val="00077CF5"/>
    <w:rsid w:val="00077E36"/>
    <w:rsid w:val="000863F3"/>
    <w:rsid w:val="00087758"/>
    <w:rsid w:val="000909F6"/>
    <w:rsid w:val="00090CCA"/>
    <w:rsid w:val="00096088"/>
    <w:rsid w:val="00097144"/>
    <w:rsid w:val="000976C4"/>
    <w:rsid w:val="000A1266"/>
    <w:rsid w:val="000A52F3"/>
    <w:rsid w:val="000A67E1"/>
    <w:rsid w:val="000B00AB"/>
    <w:rsid w:val="000B00BB"/>
    <w:rsid w:val="000B0838"/>
    <w:rsid w:val="000B1E0B"/>
    <w:rsid w:val="000B284A"/>
    <w:rsid w:val="000B76C7"/>
    <w:rsid w:val="000B7CB2"/>
    <w:rsid w:val="000C3C3A"/>
    <w:rsid w:val="000C6101"/>
    <w:rsid w:val="000C6675"/>
    <w:rsid w:val="000C6B14"/>
    <w:rsid w:val="000C7EC2"/>
    <w:rsid w:val="000D0010"/>
    <w:rsid w:val="000D569D"/>
    <w:rsid w:val="000D5F9C"/>
    <w:rsid w:val="000D7082"/>
    <w:rsid w:val="000E05E6"/>
    <w:rsid w:val="000E0802"/>
    <w:rsid w:val="000E1C7D"/>
    <w:rsid w:val="000E1F57"/>
    <w:rsid w:val="000E23C5"/>
    <w:rsid w:val="000E25A7"/>
    <w:rsid w:val="000E2AFB"/>
    <w:rsid w:val="000E3419"/>
    <w:rsid w:val="000E67F9"/>
    <w:rsid w:val="000F1663"/>
    <w:rsid w:val="000F1CE2"/>
    <w:rsid w:val="000F1DBD"/>
    <w:rsid w:val="000F2251"/>
    <w:rsid w:val="000F402F"/>
    <w:rsid w:val="000F72C1"/>
    <w:rsid w:val="001013C3"/>
    <w:rsid w:val="00101BCD"/>
    <w:rsid w:val="001024F7"/>
    <w:rsid w:val="0010520D"/>
    <w:rsid w:val="00110196"/>
    <w:rsid w:val="00110A2F"/>
    <w:rsid w:val="00111755"/>
    <w:rsid w:val="001118D0"/>
    <w:rsid w:val="001142C7"/>
    <w:rsid w:val="00115BDC"/>
    <w:rsid w:val="001173A9"/>
    <w:rsid w:val="0011799B"/>
    <w:rsid w:val="00117B23"/>
    <w:rsid w:val="0012069B"/>
    <w:rsid w:val="00121EC9"/>
    <w:rsid w:val="00125A32"/>
    <w:rsid w:val="00125E87"/>
    <w:rsid w:val="00126C36"/>
    <w:rsid w:val="0013028D"/>
    <w:rsid w:val="001337C0"/>
    <w:rsid w:val="00133EEF"/>
    <w:rsid w:val="00134554"/>
    <w:rsid w:val="00134652"/>
    <w:rsid w:val="00135517"/>
    <w:rsid w:val="00136764"/>
    <w:rsid w:val="0014742A"/>
    <w:rsid w:val="00151EE2"/>
    <w:rsid w:val="00153B9A"/>
    <w:rsid w:val="00153D13"/>
    <w:rsid w:val="00155325"/>
    <w:rsid w:val="0015559F"/>
    <w:rsid w:val="00161439"/>
    <w:rsid w:val="0016307E"/>
    <w:rsid w:val="00163F2F"/>
    <w:rsid w:val="001650E8"/>
    <w:rsid w:val="00172C72"/>
    <w:rsid w:val="00174B90"/>
    <w:rsid w:val="00176857"/>
    <w:rsid w:val="00177889"/>
    <w:rsid w:val="00182060"/>
    <w:rsid w:val="001829B6"/>
    <w:rsid w:val="00183904"/>
    <w:rsid w:val="00183DEB"/>
    <w:rsid w:val="00190FBE"/>
    <w:rsid w:val="00192026"/>
    <w:rsid w:val="001925A1"/>
    <w:rsid w:val="0019271D"/>
    <w:rsid w:val="0019530C"/>
    <w:rsid w:val="00196279"/>
    <w:rsid w:val="00196B5D"/>
    <w:rsid w:val="00197700"/>
    <w:rsid w:val="00197F9A"/>
    <w:rsid w:val="001A1C29"/>
    <w:rsid w:val="001A2C42"/>
    <w:rsid w:val="001A3DA3"/>
    <w:rsid w:val="001A4455"/>
    <w:rsid w:val="001A4D69"/>
    <w:rsid w:val="001A6612"/>
    <w:rsid w:val="001A7397"/>
    <w:rsid w:val="001B1BFC"/>
    <w:rsid w:val="001B3289"/>
    <w:rsid w:val="001B64E9"/>
    <w:rsid w:val="001B667F"/>
    <w:rsid w:val="001B754D"/>
    <w:rsid w:val="001C0145"/>
    <w:rsid w:val="001C1734"/>
    <w:rsid w:val="001C17D1"/>
    <w:rsid w:val="001C17D9"/>
    <w:rsid w:val="001C1B89"/>
    <w:rsid w:val="001C529D"/>
    <w:rsid w:val="001C5A38"/>
    <w:rsid w:val="001C5D01"/>
    <w:rsid w:val="001C655C"/>
    <w:rsid w:val="001C7B8A"/>
    <w:rsid w:val="001D1998"/>
    <w:rsid w:val="001D3A5B"/>
    <w:rsid w:val="001D4775"/>
    <w:rsid w:val="001D4CC6"/>
    <w:rsid w:val="001D708D"/>
    <w:rsid w:val="001D73F7"/>
    <w:rsid w:val="001E031E"/>
    <w:rsid w:val="001E0E3E"/>
    <w:rsid w:val="001E25F7"/>
    <w:rsid w:val="001E4C4C"/>
    <w:rsid w:val="001F0011"/>
    <w:rsid w:val="001F0049"/>
    <w:rsid w:val="001F2431"/>
    <w:rsid w:val="001F2632"/>
    <w:rsid w:val="001F3094"/>
    <w:rsid w:val="001F37AF"/>
    <w:rsid w:val="001F3CB7"/>
    <w:rsid w:val="001F4019"/>
    <w:rsid w:val="001F418E"/>
    <w:rsid w:val="001F7D79"/>
    <w:rsid w:val="002011D9"/>
    <w:rsid w:val="00201476"/>
    <w:rsid w:val="00201920"/>
    <w:rsid w:val="002033C2"/>
    <w:rsid w:val="0020371A"/>
    <w:rsid w:val="00204D5D"/>
    <w:rsid w:val="00207D99"/>
    <w:rsid w:val="002104FE"/>
    <w:rsid w:val="00210A60"/>
    <w:rsid w:val="00212B90"/>
    <w:rsid w:val="00213290"/>
    <w:rsid w:val="002136A3"/>
    <w:rsid w:val="00213773"/>
    <w:rsid w:val="00213BC5"/>
    <w:rsid w:val="0021444D"/>
    <w:rsid w:val="00214AAA"/>
    <w:rsid w:val="002152C2"/>
    <w:rsid w:val="00216B25"/>
    <w:rsid w:val="00216DCE"/>
    <w:rsid w:val="00216EF5"/>
    <w:rsid w:val="002244B9"/>
    <w:rsid w:val="00224812"/>
    <w:rsid w:val="002278F0"/>
    <w:rsid w:val="002318E0"/>
    <w:rsid w:val="0023308D"/>
    <w:rsid w:val="00233253"/>
    <w:rsid w:val="002343A6"/>
    <w:rsid w:val="00240F9D"/>
    <w:rsid w:val="00242633"/>
    <w:rsid w:val="002533DD"/>
    <w:rsid w:val="002566B0"/>
    <w:rsid w:val="002567DB"/>
    <w:rsid w:val="00260E41"/>
    <w:rsid w:val="00261B4E"/>
    <w:rsid w:val="0026564A"/>
    <w:rsid w:val="002658EB"/>
    <w:rsid w:val="00265B97"/>
    <w:rsid w:val="00266D0D"/>
    <w:rsid w:val="00267116"/>
    <w:rsid w:val="0027310D"/>
    <w:rsid w:val="0027350B"/>
    <w:rsid w:val="0027350C"/>
    <w:rsid w:val="002740CB"/>
    <w:rsid w:val="0027431D"/>
    <w:rsid w:val="0027605B"/>
    <w:rsid w:val="00280648"/>
    <w:rsid w:val="00281EAD"/>
    <w:rsid w:val="0028245A"/>
    <w:rsid w:val="00283A78"/>
    <w:rsid w:val="00283B06"/>
    <w:rsid w:val="00285AE8"/>
    <w:rsid w:val="00287AE8"/>
    <w:rsid w:val="002909ED"/>
    <w:rsid w:val="002911FC"/>
    <w:rsid w:val="00291A80"/>
    <w:rsid w:val="00291C1B"/>
    <w:rsid w:val="00292BDA"/>
    <w:rsid w:val="00294AE7"/>
    <w:rsid w:val="002961FB"/>
    <w:rsid w:val="00296FBE"/>
    <w:rsid w:val="0029706D"/>
    <w:rsid w:val="002A077D"/>
    <w:rsid w:val="002A1A29"/>
    <w:rsid w:val="002A2537"/>
    <w:rsid w:val="002A2955"/>
    <w:rsid w:val="002A29DA"/>
    <w:rsid w:val="002A4A4C"/>
    <w:rsid w:val="002A6671"/>
    <w:rsid w:val="002B316B"/>
    <w:rsid w:val="002B39B1"/>
    <w:rsid w:val="002C25E6"/>
    <w:rsid w:val="002C589A"/>
    <w:rsid w:val="002C7149"/>
    <w:rsid w:val="002D1384"/>
    <w:rsid w:val="002D1F91"/>
    <w:rsid w:val="002D20AE"/>
    <w:rsid w:val="002D2515"/>
    <w:rsid w:val="002D34BC"/>
    <w:rsid w:val="002D51E0"/>
    <w:rsid w:val="002D612E"/>
    <w:rsid w:val="002D6C27"/>
    <w:rsid w:val="002E4251"/>
    <w:rsid w:val="002E5D03"/>
    <w:rsid w:val="002F03C2"/>
    <w:rsid w:val="002F2485"/>
    <w:rsid w:val="002F2E37"/>
    <w:rsid w:val="002F45C3"/>
    <w:rsid w:val="002F64E6"/>
    <w:rsid w:val="002F6F39"/>
    <w:rsid w:val="00300467"/>
    <w:rsid w:val="00300B2A"/>
    <w:rsid w:val="003011CA"/>
    <w:rsid w:val="003019FF"/>
    <w:rsid w:val="00303982"/>
    <w:rsid w:val="00303D6E"/>
    <w:rsid w:val="00307602"/>
    <w:rsid w:val="00313DF9"/>
    <w:rsid w:val="00316FB2"/>
    <w:rsid w:val="00320CF1"/>
    <w:rsid w:val="00322704"/>
    <w:rsid w:val="00324C5B"/>
    <w:rsid w:val="003254E1"/>
    <w:rsid w:val="003263A7"/>
    <w:rsid w:val="0032742A"/>
    <w:rsid w:val="00330AC6"/>
    <w:rsid w:val="00331FDF"/>
    <w:rsid w:val="00333E05"/>
    <w:rsid w:val="00335360"/>
    <w:rsid w:val="00335B97"/>
    <w:rsid w:val="00337228"/>
    <w:rsid w:val="00343485"/>
    <w:rsid w:val="0034380D"/>
    <w:rsid w:val="00343870"/>
    <w:rsid w:val="0034506B"/>
    <w:rsid w:val="00345AFD"/>
    <w:rsid w:val="003462EC"/>
    <w:rsid w:val="00350400"/>
    <w:rsid w:val="003507F2"/>
    <w:rsid w:val="00352502"/>
    <w:rsid w:val="00352658"/>
    <w:rsid w:val="003556BA"/>
    <w:rsid w:val="00361595"/>
    <w:rsid w:val="00362324"/>
    <w:rsid w:val="00363580"/>
    <w:rsid w:val="00364B25"/>
    <w:rsid w:val="003660AD"/>
    <w:rsid w:val="00370301"/>
    <w:rsid w:val="00371551"/>
    <w:rsid w:val="003747D4"/>
    <w:rsid w:val="00377877"/>
    <w:rsid w:val="00381686"/>
    <w:rsid w:val="00384D12"/>
    <w:rsid w:val="00384D3E"/>
    <w:rsid w:val="00384F0A"/>
    <w:rsid w:val="00386471"/>
    <w:rsid w:val="00386BE5"/>
    <w:rsid w:val="003877FC"/>
    <w:rsid w:val="003921A7"/>
    <w:rsid w:val="00393CDC"/>
    <w:rsid w:val="00393E9B"/>
    <w:rsid w:val="0039519E"/>
    <w:rsid w:val="00397A72"/>
    <w:rsid w:val="003A11C4"/>
    <w:rsid w:val="003A2116"/>
    <w:rsid w:val="003A4871"/>
    <w:rsid w:val="003A7471"/>
    <w:rsid w:val="003A7781"/>
    <w:rsid w:val="003B049B"/>
    <w:rsid w:val="003B16F8"/>
    <w:rsid w:val="003B27CB"/>
    <w:rsid w:val="003B3C8E"/>
    <w:rsid w:val="003B4839"/>
    <w:rsid w:val="003B6126"/>
    <w:rsid w:val="003B6344"/>
    <w:rsid w:val="003B77CB"/>
    <w:rsid w:val="003B7A77"/>
    <w:rsid w:val="003C254F"/>
    <w:rsid w:val="003C370C"/>
    <w:rsid w:val="003C5795"/>
    <w:rsid w:val="003C659F"/>
    <w:rsid w:val="003D00CF"/>
    <w:rsid w:val="003D2D77"/>
    <w:rsid w:val="003D6485"/>
    <w:rsid w:val="003E17AD"/>
    <w:rsid w:val="003E1B2E"/>
    <w:rsid w:val="003E2046"/>
    <w:rsid w:val="003E234B"/>
    <w:rsid w:val="003E6595"/>
    <w:rsid w:val="003F0D61"/>
    <w:rsid w:val="003F198C"/>
    <w:rsid w:val="003F1FE0"/>
    <w:rsid w:val="003F3429"/>
    <w:rsid w:val="003F35C8"/>
    <w:rsid w:val="003F43F9"/>
    <w:rsid w:val="003F5BC3"/>
    <w:rsid w:val="003F60D0"/>
    <w:rsid w:val="003F63E5"/>
    <w:rsid w:val="00400948"/>
    <w:rsid w:val="004014D3"/>
    <w:rsid w:val="00402D2F"/>
    <w:rsid w:val="00403EA4"/>
    <w:rsid w:val="00404022"/>
    <w:rsid w:val="00405804"/>
    <w:rsid w:val="0041560F"/>
    <w:rsid w:val="00417568"/>
    <w:rsid w:val="00417E14"/>
    <w:rsid w:val="00421360"/>
    <w:rsid w:val="004214E9"/>
    <w:rsid w:val="00421D67"/>
    <w:rsid w:val="0042303E"/>
    <w:rsid w:val="00423BA8"/>
    <w:rsid w:val="00426788"/>
    <w:rsid w:val="00431111"/>
    <w:rsid w:val="00434772"/>
    <w:rsid w:val="00437F7E"/>
    <w:rsid w:val="004402AB"/>
    <w:rsid w:val="004407E8"/>
    <w:rsid w:val="00440D1E"/>
    <w:rsid w:val="0044659D"/>
    <w:rsid w:val="004469B4"/>
    <w:rsid w:val="0044776D"/>
    <w:rsid w:val="00447BA7"/>
    <w:rsid w:val="0045064F"/>
    <w:rsid w:val="00450F9F"/>
    <w:rsid w:val="00451C8C"/>
    <w:rsid w:val="004545C0"/>
    <w:rsid w:val="00454B7F"/>
    <w:rsid w:val="0045644F"/>
    <w:rsid w:val="004603CB"/>
    <w:rsid w:val="00460709"/>
    <w:rsid w:val="00460805"/>
    <w:rsid w:val="0046216A"/>
    <w:rsid w:val="00463EEB"/>
    <w:rsid w:val="00464E2A"/>
    <w:rsid w:val="004706E2"/>
    <w:rsid w:val="00470F90"/>
    <w:rsid w:val="00471A92"/>
    <w:rsid w:val="00471CC5"/>
    <w:rsid w:val="00472DEC"/>
    <w:rsid w:val="0047485C"/>
    <w:rsid w:val="00474A7B"/>
    <w:rsid w:val="00476660"/>
    <w:rsid w:val="004830B7"/>
    <w:rsid w:val="004907C4"/>
    <w:rsid w:val="0049123D"/>
    <w:rsid w:val="00491EBF"/>
    <w:rsid w:val="004954F4"/>
    <w:rsid w:val="004964CA"/>
    <w:rsid w:val="004972D3"/>
    <w:rsid w:val="004A1ED5"/>
    <w:rsid w:val="004A22FA"/>
    <w:rsid w:val="004A2CA4"/>
    <w:rsid w:val="004A476C"/>
    <w:rsid w:val="004A5550"/>
    <w:rsid w:val="004A6030"/>
    <w:rsid w:val="004A72D0"/>
    <w:rsid w:val="004B0924"/>
    <w:rsid w:val="004B2A86"/>
    <w:rsid w:val="004B3EEA"/>
    <w:rsid w:val="004B4253"/>
    <w:rsid w:val="004B5FDE"/>
    <w:rsid w:val="004C0F94"/>
    <w:rsid w:val="004C3421"/>
    <w:rsid w:val="004C432E"/>
    <w:rsid w:val="004C5192"/>
    <w:rsid w:val="004C555A"/>
    <w:rsid w:val="004C58C1"/>
    <w:rsid w:val="004C73FD"/>
    <w:rsid w:val="004D2F70"/>
    <w:rsid w:val="004D6134"/>
    <w:rsid w:val="004D6F66"/>
    <w:rsid w:val="004D7F52"/>
    <w:rsid w:val="004D7F8A"/>
    <w:rsid w:val="004E1574"/>
    <w:rsid w:val="004E5FD7"/>
    <w:rsid w:val="004E6F07"/>
    <w:rsid w:val="004E75E2"/>
    <w:rsid w:val="004F023D"/>
    <w:rsid w:val="004F0316"/>
    <w:rsid w:val="004F2652"/>
    <w:rsid w:val="004F2AE1"/>
    <w:rsid w:val="004F304F"/>
    <w:rsid w:val="004F430B"/>
    <w:rsid w:val="004F48C0"/>
    <w:rsid w:val="004F5A01"/>
    <w:rsid w:val="004F5D94"/>
    <w:rsid w:val="004F7677"/>
    <w:rsid w:val="0050093A"/>
    <w:rsid w:val="00501A8A"/>
    <w:rsid w:val="00502772"/>
    <w:rsid w:val="00503701"/>
    <w:rsid w:val="00504A97"/>
    <w:rsid w:val="00505BAD"/>
    <w:rsid w:val="0050695B"/>
    <w:rsid w:val="005073C8"/>
    <w:rsid w:val="005107E2"/>
    <w:rsid w:val="005112E0"/>
    <w:rsid w:val="00511D5F"/>
    <w:rsid w:val="00513A86"/>
    <w:rsid w:val="00521F08"/>
    <w:rsid w:val="0052226E"/>
    <w:rsid w:val="0052276A"/>
    <w:rsid w:val="0052296C"/>
    <w:rsid w:val="00523317"/>
    <w:rsid w:val="00524106"/>
    <w:rsid w:val="005245F7"/>
    <w:rsid w:val="00525698"/>
    <w:rsid w:val="00525DDB"/>
    <w:rsid w:val="00527AA5"/>
    <w:rsid w:val="005356FB"/>
    <w:rsid w:val="00536426"/>
    <w:rsid w:val="00536CC2"/>
    <w:rsid w:val="0053766F"/>
    <w:rsid w:val="005402B8"/>
    <w:rsid w:val="00541B00"/>
    <w:rsid w:val="00541C04"/>
    <w:rsid w:val="00541F72"/>
    <w:rsid w:val="0054298F"/>
    <w:rsid w:val="00545120"/>
    <w:rsid w:val="0055016C"/>
    <w:rsid w:val="00550B91"/>
    <w:rsid w:val="00552B2B"/>
    <w:rsid w:val="00552CFE"/>
    <w:rsid w:val="00552D52"/>
    <w:rsid w:val="00554894"/>
    <w:rsid w:val="005555AD"/>
    <w:rsid w:val="005567C3"/>
    <w:rsid w:val="00557C04"/>
    <w:rsid w:val="00557F48"/>
    <w:rsid w:val="00561442"/>
    <w:rsid w:val="005626F9"/>
    <w:rsid w:val="00563879"/>
    <w:rsid w:val="0056725A"/>
    <w:rsid w:val="005708A2"/>
    <w:rsid w:val="00570B54"/>
    <w:rsid w:val="00572CB1"/>
    <w:rsid w:val="00577EF9"/>
    <w:rsid w:val="00582537"/>
    <w:rsid w:val="00586C6F"/>
    <w:rsid w:val="00587A9C"/>
    <w:rsid w:val="0059290E"/>
    <w:rsid w:val="00593803"/>
    <w:rsid w:val="005956F5"/>
    <w:rsid w:val="0059676A"/>
    <w:rsid w:val="00596DE1"/>
    <w:rsid w:val="005974C3"/>
    <w:rsid w:val="005A28FC"/>
    <w:rsid w:val="005A2F85"/>
    <w:rsid w:val="005A6C92"/>
    <w:rsid w:val="005B08A1"/>
    <w:rsid w:val="005B20C8"/>
    <w:rsid w:val="005B43A9"/>
    <w:rsid w:val="005B538F"/>
    <w:rsid w:val="005B53AF"/>
    <w:rsid w:val="005B68C5"/>
    <w:rsid w:val="005C09ED"/>
    <w:rsid w:val="005C2EA3"/>
    <w:rsid w:val="005C70D0"/>
    <w:rsid w:val="005C78B6"/>
    <w:rsid w:val="005D06CF"/>
    <w:rsid w:val="005D1CF9"/>
    <w:rsid w:val="005D2364"/>
    <w:rsid w:val="005D3885"/>
    <w:rsid w:val="005D4E77"/>
    <w:rsid w:val="005E02F2"/>
    <w:rsid w:val="005E1306"/>
    <w:rsid w:val="005E1B11"/>
    <w:rsid w:val="005E2CBE"/>
    <w:rsid w:val="005E32FC"/>
    <w:rsid w:val="005E5065"/>
    <w:rsid w:val="005E7254"/>
    <w:rsid w:val="005F07BB"/>
    <w:rsid w:val="005F2F60"/>
    <w:rsid w:val="005F2FF6"/>
    <w:rsid w:val="005F336A"/>
    <w:rsid w:val="005F3B94"/>
    <w:rsid w:val="005F5C1E"/>
    <w:rsid w:val="005F69BA"/>
    <w:rsid w:val="005F6F49"/>
    <w:rsid w:val="00600A0A"/>
    <w:rsid w:val="00600A8E"/>
    <w:rsid w:val="006013A6"/>
    <w:rsid w:val="00601B1F"/>
    <w:rsid w:val="0060689C"/>
    <w:rsid w:val="00606A01"/>
    <w:rsid w:val="00606AC8"/>
    <w:rsid w:val="006102C8"/>
    <w:rsid w:val="00611014"/>
    <w:rsid w:val="00611DDA"/>
    <w:rsid w:val="00611E52"/>
    <w:rsid w:val="00616162"/>
    <w:rsid w:val="0061629E"/>
    <w:rsid w:val="0061653A"/>
    <w:rsid w:val="0061670C"/>
    <w:rsid w:val="00616D4D"/>
    <w:rsid w:val="006171FF"/>
    <w:rsid w:val="006205F8"/>
    <w:rsid w:val="006217A4"/>
    <w:rsid w:val="00622B95"/>
    <w:rsid w:val="00622E72"/>
    <w:rsid w:val="00623FF7"/>
    <w:rsid w:val="00624FF2"/>
    <w:rsid w:val="00626983"/>
    <w:rsid w:val="00626A3E"/>
    <w:rsid w:val="00630E8E"/>
    <w:rsid w:val="00635CBF"/>
    <w:rsid w:val="00636949"/>
    <w:rsid w:val="00637601"/>
    <w:rsid w:val="00637716"/>
    <w:rsid w:val="00637842"/>
    <w:rsid w:val="0064263E"/>
    <w:rsid w:val="006429CC"/>
    <w:rsid w:val="00646E23"/>
    <w:rsid w:val="00646E5A"/>
    <w:rsid w:val="00646EC6"/>
    <w:rsid w:val="00653295"/>
    <w:rsid w:val="00654108"/>
    <w:rsid w:val="00656F2E"/>
    <w:rsid w:val="00656FE0"/>
    <w:rsid w:val="00660649"/>
    <w:rsid w:val="00660AAA"/>
    <w:rsid w:val="00663D77"/>
    <w:rsid w:val="00665613"/>
    <w:rsid w:val="0066695A"/>
    <w:rsid w:val="00666D98"/>
    <w:rsid w:val="0067117B"/>
    <w:rsid w:val="006711F5"/>
    <w:rsid w:val="006713E6"/>
    <w:rsid w:val="00671580"/>
    <w:rsid w:val="00672EF9"/>
    <w:rsid w:val="00673AB4"/>
    <w:rsid w:val="006740FF"/>
    <w:rsid w:val="0068200E"/>
    <w:rsid w:val="0068623D"/>
    <w:rsid w:val="006904C6"/>
    <w:rsid w:val="00692352"/>
    <w:rsid w:val="006936B7"/>
    <w:rsid w:val="006943E7"/>
    <w:rsid w:val="00694576"/>
    <w:rsid w:val="00694DC6"/>
    <w:rsid w:val="00694E38"/>
    <w:rsid w:val="006973F4"/>
    <w:rsid w:val="006A3163"/>
    <w:rsid w:val="006A4A64"/>
    <w:rsid w:val="006A4AA6"/>
    <w:rsid w:val="006A7A1E"/>
    <w:rsid w:val="006B0393"/>
    <w:rsid w:val="006B09D4"/>
    <w:rsid w:val="006B1C96"/>
    <w:rsid w:val="006B1FE7"/>
    <w:rsid w:val="006B407E"/>
    <w:rsid w:val="006B4576"/>
    <w:rsid w:val="006B622B"/>
    <w:rsid w:val="006B646F"/>
    <w:rsid w:val="006B7017"/>
    <w:rsid w:val="006B750B"/>
    <w:rsid w:val="006C344D"/>
    <w:rsid w:val="006C529E"/>
    <w:rsid w:val="006D2907"/>
    <w:rsid w:val="006D5E55"/>
    <w:rsid w:val="006E1CC0"/>
    <w:rsid w:val="006F2739"/>
    <w:rsid w:val="006F46F1"/>
    <w:rsid w:val="006F56B2"/>
    <w:rsid w:val="00700AB5"/>
    <w:rsid w:val="0070428C"/>
    <w:rsid w:val="00705C9F"/>
    <w:rsid w:val="00706A1A"/>
    <w:rsid w:val="00706B70"/>
    <w:rsid w:val="0070737C"/>
    <w:rsid w:val="007102D3"/>
    <w:rsid w:val="00710C71"/>
    <w:rsid w:val="00711493"/>
    <w:rsid w:val="0071264B"/>
    <w:rsid w:val="00715123"/>
    <w:rsid w:val="00716193"/>
    <w:rsid w:val="00717176"/>
    <w:rsid w:val="0071748E"/>
    <w:rsid w:val="00721432"/>
    <w:rsid w:val="00724BF0"/>
    <w:rsid w:val="00725FC0"/>
    <w:rsid w:val="00727976"/>
    <w:rsid w:val="00730181"/>
    <w:rsid w:val="00731DD7"/>
    <w:rsid w:val="00734B2C"/>
    <w:rsid w:val="00736FA9"/>
    <w:rsid w:val="00737EAF"/>
    <w:rsid w:val="0074175A"/>
    <w:rsid w:val="007417B7"/>
    <w:rsid w:val="007429CF"/>
    <w:rsid w:val="00743E79"/>
    <w:rsid w:val="007449BA"/>
    <w:rsid w:val="00747713"/>
    <w:rsid w:val="00747FE3"/>
    <w:rsid w:val="007506C6"/>
    <w:rsid w:val="0075262E"/>
    <w:rsid w:val="00752B42"/>
    <w:rsid w:val="00752DA6"/>
    <w:rsid w:val="00753411"/>
    <w:rsid w:val="0075433C"/>
    <w:rsid w:val="00754446"/>
    <w:rsid w:val="00755BBB"/>
    <w:rsid w:val="00756716"/>
    <w:rsid w:val="00756B0B"/>
    <w:rsid w:val="00761497"/>
    <w:rsid w:val="00762AF9"/>
    <w:rsid w:val="00762C84"/>
    <w:rsid w:val="00762F51"/>
    <w:rsid w:val="00763EF4"/>
    <w:rsid w:val="007644DA"/>
    <w:rsid w:val="0076486B"/>
    <w:rsid w:val="00771018"/>
    <w:rsid w:val="00772B4B"/>
    <w:rsid w:val="00773086"/>
    <w:rsid w:val="007739F0"/>
    <w:rsid w:val="0077543E"/>
    <w:rsid w:val="00775790"/>
    <w:rsid w:val="00775A8A"/>
    <w:rsid w:val="00776CC3"/>
    <w:rsid w:val="00777849"/>
    <w:rsid w:val="00780495"/>
    <w:rsid w:val="007807D6"/>
    <w:rsid w:val="00781B93"/>
    <w:rsid w:val="007826A2"/>
    <w:rsid w:val="007827E5"/>
    <w:rsid w:val="00783D73"/>
    <w:rsid w:val="00784217"/>
    <w:rsid w:val="00785B85"/>
    <w:rsid w:val="00787AC2"/>
    <w:rsid w:val="00787B3E"/>
    <w:rsid w:val="00791956"/>
    <w:rsid w:val="00792511"/>
    <w:rsid w:val="007928BE"/>
    <w:rsid w:val="00792C57"/>
    <w:rsid w:val="00793119"/>
    <w:rsid w:val="0079456B"/>
    <w:rsid w:val="00794D98"/>
    <w:rsid w:val="00797812"/>
    <w:rsid w:val="00797D5B"/>
    <w:rsid w:val="007A2D28"/>
    <w:rsid w:val="007A52CA"/>
    <w:rsid w:val="007A57F6"/>
    <w:rsid w:val="007A5C4D"/>
    <w:rsid w:val="007A6932"/>
    <w:rsid w:val="007A7A1E"/>
    <w:rsid w:val="007B0931"/>
    <w:rsid w:val="007B18BA"/>
    <w:rsid w:val="007B40AE"/>
    <w:rsid w:val="007B476A"/>
    <w:rsid w:val="007B7972"/>
    <w:rsid w:val="007C0E53"/>
    <w:rsid w:val="007C1660"/>
    <w:rsid w:val="007C2B89"/>
    <w:rsid w:val="007C548F"/>
    <w:rsid w:val="007D0853"/>
    <w:rsid w:val="007D21F8"/>
    <w:rsid w:val="007D228C"/>
    <w:rsid w:val="007D3304"/>
    <w:rsid w:val="007D33BC"/>
    <w:rsid w:val="007D3F80"/>
    <w:rsid w:val="007D57A5"/>
    <w:rsid w:val="007D6688"/>
    <w:rsid w:val="007D6939"/>
    <w:rsid w:val="007D7B34"/>
    <w:rsid w:val="007E4A31"/>
    <w:rsid w:val="007E5CFC"/>
    <w:rsid w:val="007E65EC"/>
    <w:rsid w:val="007E6A58"/>
    <w:rsid w:val="007F5C89"/>
    <w:rsid w:val="007F6F56"/>
    <w:rsid w:val="00800195"/>
    <w:rsid w:val="00801E27"/>
    <w:rsid w:val="00805D96"/>
    <w:rsid w:val="00806C70"/>
    <w:rsid w:val="00810EFF"/>
    <w:rsid w:val="008119F1"/>
    <w:rsid w:val="008121B0"/>
    <w:rsid w:val="00813328"/>
    <w:rsid w:val="008133DA"/>
    <w:rsid w:val="008139F0"/>
    <w:rsid w:val="0081710A"/>
    <w:rsid w:val="00820449"/>
    <w:rsid w:val="0082125D"/>
    <w:rsid w:val="0082312B"/>
    <w:rsid w:val="00825E98"/>
    <w:rsid w:val="00826782"/>
    <w:rsid w:val="008321DF"/>
    <w:rsid w:val="0083244D"/>
    <w:rsid w:val="00832A4F"/>
    <w:rsid w:val="00833162"/>
    <w:rsid w:val="00834869"/>
    <w:rsid w:val="00834F40"/>
    <w:rsid w:val="008350C6"/>
    <w:rsid w:val="008356C3"/>
    <w:rsid w:val="0083705F"/>
    <w:rsid w:val="00840479"/>
    <w:rsid w:val="0084374B"/>
    <w:rsid w:val="00843D1C"/>
    <w:rsid w:val="00844171"/>
    <w:rsid w:val="0084467F"/>
    <w:rsid w:val="00844ACB"/>
    <w:rsid w:val="00845C45"/>
    <w:rsid w:val="00845CCC"/>
    <w:rsid w:val="00846119"/>
    <w:rsid w:val="00846B60"/>
    <w:rsid w:val="00847DAE"/>
    <w:rsid w:val="00850918"/>
    <w:rsid w:val="00853F51"/>
    <w:rsid w:val="00853FF3"/>
    <w:rsid w:val="0085644D"/>
    <w:rsid w:val="0085727C"/>
    <w:rsid w:val="00860116"/>
    <w:rsid w:val="0086276A"/>
    <w:rsid w:val="00863ACA"/>
    <w:rsid w:val="00863E7B"/>
    <w:rsid w:val="00865B94"/>
    <w:rsid w:val="008676BD"/>
    <w:rsid w:val="00867D5F"/>
    <w:rsid w:val="008702D5"/>
    <w:rsid w:val="00872006"/>
    <w:rsid w:val="008725F6"/>
    <w:rsid w:val="00872F95"/>
    <w:rsid w:val="008733BE"/>
    <w:rsid w:val="00873BEE"/>
    <w:rsid w:val="00873FB1"/>
    <w:rsid w:val="00880CB9"/>
    <w:rsid w:val="0088359D"/>
    <w:rsid w:val="00884362"/>
    <w:rsid w:val="008843EB"/>
    <w:rsid w:val="00887CA8"/>
    <w:rsid w:val="008977A7"/>
    <w:rsid w:val="008A1D21"/>
    <w:rsid w:val="008A4F93"/>
    <w:rsid w:val="008A729C"/>
    <w:rsid w:val="008B284E"/>
    <w:rsid w:val="008B2AEB"/>
    <w:rsid w:val="008B4E90"/>
    <w:rsid w:val="008B54B7"/>
    <w:rsid w:val="008C0673"/>
    <w:rsid w:val="008C0A07"/>
    <w:rsid w:val="008C31B6"/>
    <w:rsid w:val="008C3D2D"/>
    <w:rsid w:val="008C5703"/>
    <w:rsid w:val="008C7116"/>
    <w:rsid w:val="008C711F"/>
    <w:rsid w:val="008D03D6"/>
    <w:rsid w:val="008D1568"/>
    <w:rsid w:val="008D4318"/>
    <w:rsid w:val="008D50B9"/>
    <w:rsid w:val="008D6B3F"/>
    <w:rsid w:val="008D7322"/>
    <w:rsid w:val="008D7339"/>
    <w:rsid w:val="008D75F9"/>
    <w:rsid w:val="008E0AE4"/>
    <w:rsid w:val="008E1EAD"/>
    <w:rsid w:val="008E39DE"/>
    <w:rsid w:val="008E5B39"/>
    <w:rsid w:val="008E6FCF"/>
    <w:rsid w:val="008E704D"/>
    <w:rsid w:val="008F0F79"/>
    <w:rsid w:val="008F183B"/>
    <w:rsid w:val="008F23B8"/>
    <w:rsid w:val="008F6689"/>
    <w:rsid w:val="009004B4"/>
    <w:rsid w:val="0090072C"/>
    <w:rsid w:val="00902DD7"/>
    <w:rsid w:val="0090331F"/>
    <w:rsid w:val="00904959"/>
    <w:rsid w:val="00904CC4"/>
    <w:rsid w:val="009052E5"/>
    <w:rsid w:val="009119F1"/>
    <w:rsid w:val="0091303F"/>
    <w:rsid w:val="0091333D"/>
    <w:rsid w:val="0091489A"/>
    <w:rsid w:val="00916452"/>
    <w:rsid w:val="00920AD8"/>
    <w:rsid w:val="009211D3"/>
    <w:rsid w:val="009234BE"/>
    <w:rsid w:val="009238FC"/>
    <w:rsid w:val="009257F5"/>
    <w:rsid w:val="00927D37"/>
    <w:rsid w:val="00931359"/>
    <w:rsid w:val="009319FE"/>
    <w:rsid w:val="009346B8"/>
    <w:rsid w:val="0093579B"/>
    <w:rsid w:val="00935D2E"/>
    <w:rsid w:val="00937513"/>
    <w:rsid w:val="00937643"/>
    <w:rsid w:val="009378B6"/>
    <w:rsid w:val="00941AAC"/>
    <w:rsid w:val="0094217E"/>
    <w:rsid w:val="00942211"/>
    <w:rsid w:val="009425C8"/>
    <w:rsid w:val="00944819"/>
    <w:rsid w:val="00945023"/>
    <w:rsid w:val="0094653F"/>
    <w:rsid w:val="00946B19"/>
    <w:rsid w:val="009502CC"/>
    <w:rsid w:val="00953370"/>
    <w:rsid w:val="0095757A"/>
    <w:rsid w:val="00960321"/>
    <w:rsid w:val="0096040B"/>
    <w:rsid w:val="009607BF"/>
    <w:rsid w:val="0096134C"/>
    <w:rsid w:val="009652E1"/>
    <w:rsid w:val="00965727"/>
    <w:rsid w:val="00965E9B"/>
    <w:rsid w:val="009664ED"/>
    <w:rsid w:val="00967ADC"/>
    <w:rsid w:val="0097103C"/>
    <w:rsid w:val="00971E7E"/>
    <w:rsid w:val="0097346D"/>
    <w:rsid w:val="00974738"/>
    <w:rsid w:val="00975AA1"/>
    <w:rsid w:val="009766FD"/>
    <w:rsid w:val="00980486"/>
    <w:rsid w:val="00980BFE"/>
    <w:rsid w:val="00980EF8"/>
    <w:rsid w:val="00981F9A"/>
    <w:rsid w:val="00984D14"/>
    <w:rsid w:val="009850BA"/>
    <w:rsid w:val="009856F4"/>
    <w:rsid w:val="00985CEF"/>
    <w:rsid w:val="009861B4"/>
    <w:rsid w:val="0098624A"/>
    <w:rsid w:val="0099094E"/>
    <w:rsid w:val="00990AB6"/>
    <w:rsid w:val="00991EC6"/>
    <w:rsid w:val="00993E21"/>
    <w:rsid w:val="00995300"/>
    <w:rsid w:val="0099799A"/>
    <w:rsid w:val="009A0433"/>
    <w:rsid w:val="009A1F61"/>
    <w:rsid w:val="009A353A"/>
    <w:rsid w:val="009A66BF"/>
    <w:rsid w:val="009B077B"/>
    <w:rsid w:val="009B468A"/>
    <w:rsid w:val="009B4B09"/>
    <w:rsid w:val="009B7E4B"/>
    <w:rsid w:val="009C00F2"/>
    <w:rsid w:val="009C21DE"/>
    <w:rsid w:val="009C23DF"/>
    <w:rsid w:val="009C2C9E"/>
    <w:rsid w:val="009C30DF"/>
    <w:rsid w:val="009C42D9"/>
    <w:rsid w:val="009C4A1B"/>
    <w:rsid w:val="009C706C"/>
    <w:rsid w:val="009D0821"/>
    <w:rsid w:val="009D17F9"/>
    <w:rsid w:val="009D6C02"/>
    <w:rsid w:val="009E1524"/>
    <w:rsid w:val="009E1A28"/>
    <w:rsid w:val="009E1CA1"/>
    <w:rsid w:val="009E256B"/>
    <w:rsid w:val="009E2B12"/>
    <w:rsid w:val="009E373A"/>
    <w:rsid w:val="009E5303"/>
    <w:rsid w:val="009E548C"/>
    <w:rsid w:val="009E6913"/>
    <w:rsid w:val="009F4F71"/>
    <w:rsid w:val="009F50AC"/>
    <w:rsid w:val="00A012E3"/>
    <w:rsid w:val="00A0131C"/>
    <w:rsid w:val="00A0136C"/>
    <w:rsid w:val="00A01DF3"/>
    <w:rsid w:val="00A02911"/>
    <w:rsid w:val="00A040D2"/>
    <w:rsid w:val="00A10288"/>
    <w:rsid w:val="00A11B6D"/>
    <w:rsid w:val="00A12C23"/>
    <w:rsid w:val="00A13D3A"/>
    <w:rsid w:val="00A14A05"/>
    <w:rsid w:val="00A14F4E"/>
    <w:rsid w:val="00A1682A"/>
    <w:rsid w:val="00A16AF3"/>
    <w:rsid w:val="00A17786"/>
    <w:rsid w:val="00A223E3"/>
    <w:rsid w:val="00A23323"/>
    <w:rsid w:val="00A25109"/>
    <w:rsid w:val="00A259A1"/>
    <w:rsid w:val="00A264AD"/>
    <w:rsid w:val="00A271B4"/>
    <w:rsid w:val="00A31953"/>
    <w:rsid w:val="00A31D87"/>
    <w:rsid w:val="00A34A2A"/>
    <w:rsid w:val="00A35A0A"/>
    <w:rsid w:val="00A35BD6"/>
    <w:rsid w:val="00A36FC2"/>
    <w:rsid w:val="00A37D30"/>
    <w:rsid w:val="00A40D66"/>
    <w:rsid w:val="00A41A00"/>
    <w:rsid w:val="00A43A75"/>
    <w:rsid w:val="00A443AA"/>
    <w:rsid w:val="00A501DE"/>
    <w:rsid w:val="00A51076"/>
    <w:rsid w:val="00A51C5B"/>
    <w:rsid w:val="00A536CD"/>
    <w:rsid w:val="00A53D64"/>
    <w:rsid w:val="00A5533C"/>
    <w:rsid w:val="00A57066"/>
    <w:rsid w:val="00A60B5D"/>
    <w:rsid w:val="00A62BB4"/>
    <w:rsid w:val="00A63159"/>
    <w:rsid w:val="00A65577"/>
    <w:rsid w:val="00A7246D"/>
    <w:rsid w:val="00A72E2E"/>
    <w:rsid w:val="00A7712E"/>
    <w:rsid w:val="00A77A64"/>
    <w:rsid w:val="00A81A29"/>
    <w:rsid w:val="00A81E11"/>
    <w:rsid w:val="00A8570F"/>
    <w:rsid w:val="00A87B45"/>
    <w:rsid w:val="00A9140F"/>
    <w:rsid w:val="00A92449"/>
    <w:rsid w:val="00A924BA"/>
    <w:rsid w:val="00A93558"/>
    <w:rsid w:val="00A96AF3"/>
    <w:rsid w:val="00A96F4F"/>
    <w:rsid w:val="00AA3802"/>
    <w:rsid w:val="00AA3C61"/>
    <w:rsid w:val="00AA4DAC"/>
    <w:rsid w:val="00AA64FA"/>
    <w:rsid w:val="00AA6AE5"/>
    <w:rsid w:val="00AA75CF"/>
    <w:rsid w:val="00AA7730"/>
    <w:rsid w:val="00AA77CE"/>
    <w:rsid w:val="00AA7DBB"/>
    <w:rsid w:val="00AB0E64"/>
    <w:rsid w:val="00AB15AD"/>
    <w:rsid w:val="00AB26A9"/>
    <w:rsid w:val="00AB29FE"/>
    <w:rsid w:val="00AB358B"/>
    <w:rsid w:val="00AB43DA"/>
    <w:rsid w:val="00AB4C3D"/>
    <w:rsid w:val="00AB7EBC"/>
    <w:rsid w:val="00AC06C5"/>
    <w:rsid w:val="00AC1489"/>
    <w:rsid w:val="00AC3724"/>
    <w:rsid w:val="00AC3D35"/>
    <w:rsid w:val="00AC5710"/>
    <w:rsid w:val="00AC5B6A"/>
    <w:rsid w:val="00AC5F68"/>
    <w:rsid w:val="00AC6005"/>
    <w:rsid w:val="00AC6D34"/>
    <w:rsid w:val="00AD0B8C"/>
    <w:rsid w:val="00AD2AB1"/>
    <w:rsid w:val="00AD35FE"/>
    <w:rsid w:val="00AD40A7"/>
    <w:rsid w:val="00AD58B6"/>
    <w:rsid w:val="00AD61F9"/>
    <w:rsid w:val="00AE2629"/>
    <w:rsid w:val="00AE3B04"/>
    <w:rsid w:val="00AF10EE"/>
    <w:rsid w:val="00AF2224"/>
    <w:rsid w:val="00AF23B1"/>
    <w:rsid w:val="00AF6EFE"/>
    <w:rsid w:val="00AF7142"/>
    <w:rsid w:val="00AF7236"/>
    <w:rsid w:val="00AF7770"/>
    <w:rsid w:val="00B015D5"/>
    <w:rsid w:val="00B01D0C"/>
    <w:rsid w:val="00B04810"/>
    <w:rsid w:val="00B060DF"/>
    <w:rsid w:val="00B07A40"/>
    <w:rsid w:val="00B10EA7"/>
    <w:rsid w:val="00B11C10"/>
    <w:rsid w:val="00B12A6B"/>
    <w:rsid w:val="00B130A7"/>
    <w:rsid w:val="00B1394F"/>
    <w:rsid w:val="00B144BA"/>
    <w:rsid w:val="00B1557A"/>
    <w:rsid w:val="00B16648"/>
    <w:rsid w:val="00B16DA0"/>
    <w:rsid w:val="00B23CDD"/>
    <w:rsid w:val="00B23FF9"/>
    <w:rsid w:val="00B31A9A"/>
    <w:rsid w:val="00B31C17"/>
    <w:rsid w:val="00B31DDB"/>
    <w:rsid w:val="00B325C2"/>
    <w:rsid w:val="00B32BD4"/>
    <w:rsid w:val="00B34786"/>
    <w:rsid w:val="00B34DC9"/>
    <w:rsid w:val="00B350C3"/>
    <w:rsid w:val="00B35356"/>
    <w:rsid w:val="00B35650"/>
    <w:rsid w:val="00B36376"/>
    <w:rsid w:val="00B37F13"/>
    <w:rsid w:val="00B41090"/>
    <w:rsid w:val="00B416F5"/>
    <w:rsid w:val="00B450B8"/>
    <w:rsid w:val="00B47D18"/>
    <w:rsid w:val="00B507F2"/>
    <w:rsid w:val="00B52CFD"/>
    <w:rsid w:val="00B541C4"/>
    <w:rsid w:val="00B551C2"/>
    <w:rsid w:val="00B55348"/>
    <w:rsid w:val="00B56412"/>
    <w:rsid w:val="00B62B7A"/>
    <w:rsid w:val="00B63A06"/>
    <w:rsid w:val="00B63E0E"/>
    <w:rsid w:val="00B65F26"/>
    <w:rsid w:val="00B665FB"/>
    <w:rsid w:val="00B66E71"/>
    <w:rsid w:val="00B670A2"/>
    <w:rsid w:val="00B6769F"/>
    <w:rsid w:val="00B67D7F"/>
    <w:rsid w:val="00B70D53"/>
    <w:rsid w:val="00B7172D"/>
    <w:rsid w:val="00B737AB"/>
    <w:rsid w:val="00B755F7"/>
    <w:rsid w:val="00B81CDB"/>
    <w:rsid w:val="00B82E59"/>
    <w:rsid w:val="00B83056"/>
    <w:rsid w:val="00B8461F"/>
    <w:rsid w:val="00B85B9B"/>
    <w:rsid w:val="00B86365"/>
    <w:rsid w:val="00B9286E"/>
    <w:rsid w:val="00B943EB"/>
    <w:rsid w:val="00B95A69"/>
    <w:rsid w:val="00B95DFA"/>
    <w:rsid w:val="00B97055"/>
    <w:rsid w:val="00B9776A"/>
    <w:rsid w:val="00BA0146"/>
    <w:rsid w:val="00BA0EE8"/>
    <w:rsid w:val="00BA107D"/>
    <w:rsid w:val="00BA10D1"/>
    <w:rsid w:val="00BA16BB"/>
    <w:rsid w:val="00BA249B"/>
    <w:rsid w:val="00BA26A5"/>
    <w:rsid w:val="00BA3318"/>
    <w:rsid w:val="00BA3BC9"/>
    <w:rsid w:val="00BA4FE4"/>
    <w:rsid w:val="00BA55ED"/>
    <w:rsid w:val="00BA7FDC"/>
    <w:rsid w:val="00BB0806"/>
    <w:rsid w:val="00BB1146"/>
    <w:rsid w:val="00BB20E0"/>
    <w:rsid w:val="00BB2B3C"/>
    <w:rsid w:val="00BC0220"/>
    <w:rsid w:val="00BC0CAD"/>
    <w:rsid w:val="00BC0EB8"/>
    <w:rsid w:val="00BC3EFB"/>
    <w:rsid w:val="00BC465B"/>
    <w:rsid w:val="00BC47A2"/>
    <w:rsid w:val="00BC4BD7"/>
    <w:rsid w:val="00BD2509"/>
    <w:rsid w:val="00BD25A4"/>
    <w:rsid w:val="00BD27B0"/>
    <w:rsid w:val="00BD6550"/>
    <w:rsid w:val="00BE412B"/>
    <w:rsid w:val="00BE4992"/>
    <w:rsid w:val="00BF0816"/>
    <w:rsid w:val="00BF0D83"/>
    <w:rsid w:val="00BF19ED"/>
    <w:rsid w:val="00BF2E0F"/>
    <w:rsid w:val="00BF45E8"/>
    <w:rsid w:val="00BF47CA"/>
    <w:rsid w:val="00BF6D0E"/>
    <w:rsid w:val="00C00C66"/>
    <w:rsid w:val="00C014CD"/>
    <w:rsid w:val="00C0317C"/>
    <w:rsid w:val="00C0652F"/>
    <w:rsid w:val="00C06F20"/>
    <w:rsid w:val="00C07AD8"/>
    <w:rsid w:val="00C1093C"/>
    <w:rsid w:val="00C122F7"/>
    <w:rsid w:val="00C12C56"/>
    <w:rsid w:val="00C12F5C"/>
    <w:rsid w:val="00C12FB5"/>
    <w:rsid w:val="00C14CA9"/>
    <w:rsid w:val="00C158D1"/>
    <w:rsid w:val="00C16E8C"/>
    <w:rsid w:val="00C17688"/>
    <w:rsid w:val="00C2013A"/>
    <w:rsid w:val="00C202BE"/>
    <w:rsid w:val="00C2161B"/>
    <w:rsid w:val="00C21C38"/>
    <w:rsid w:val="00C24ABB"/>
    <w:rsid w:val="00C26D30"/>
    <w:rsid w:val="00C3017D"/>
    <w:rsid w:val="00C3076C"/>
    <w:rsid w:val="00C3243D"/>
    <w:rsid w:val="00C3322A"/>
    <w:rsid w:val="00C33820"/>
    <w:rsid w:val="00C35494"/>
    <w:rsid w:val="00C35E6E"/>
    <w:rsid w:val="00C36951"/>
    <w:rsid w:val="00C43F0F"/>
    <w:rsid w:val="00C45E06"/>
    <w:rsid w:val="00C462BC"/>
    <w:rsid w:val="00C465CB"/>
    <w:rsid w:val="00C53594"/>
    <w:rsid w:val="00C53CDF"/>
    <w:rsid w:val="00C558AF"/>
    <w:rsid w:val="00C56214"/>
    <w:rsid w:val="00C56D7D"/>
    <w:rsid w:val="00C6038A"/>
    <w:rsid w:val="00C60936"/>
    <w:rsid w:val="00C60EFB"/>
    <w:rsid w:val="00C62008"/>
    <w:rsid w:val="00C64826"/>
    <w:rsid w:val="00C66FEA"/>
    <w:rsid w:val="00C677D1"/>
    <w:rsid w:val="00C72699"/>
    <w:rsid w:val="00C72AD6"/>
    <w:rsid w:val="00C737D3"/>
    <w:rsid w:val="00C7400D"/>
    <w:rsid w:val="00C749F7"/>
    <w:rsid w:val="00C7635D"/>
    <w:rsid w:val="00C811E1"/>
    <w:rsid w:val="00C861D2"/>
    <w:rsid w:val="00C865C4"/>
    <w:rsid w:val="00C8756B"/>
    <w:rsid w:val="00C90579"/>
    <w:rsid w:val="00C90AA8"/>
    <w:rsid w:val="00C91EB2"/>
    <w:rsid w:val="00C931B1"/>
    <w:rsid w:val="00C93E78"/>
    <w:rsid w:val="00C94A57"/>
    <w:rsid w:val="00C95DE6"/>
    <w:rsid w:val="00C960BD"/>
    <w:rsid w:val="00CA1269"/>
    <w:rsid w:val="00CA21A8"/>
    <w:rsid w:val="00CA2A13"/>
    <w:rsid w:val="00CA447F"/>
    <w:rsid w:val="00CA4715"/>
    <w:rsid w:val="00CA5C62"/>
    <w:rsid w:val="00CA75BB"/>
    <w:rsid w:val="00CB0AB0"/>
    <w:rsid w:val="00CB3377"/>
    <w:rsid w:val="00CB3A7A"/>
    <w:rsid w:val="00CC2B03"/>
    <w:rsid w:val="00CC313F"/>
    <w:rsid w:val="00CC4EDF"/>
    <w:rsid w:val="00CD08E2"/>
    <w:rsid w:val="00CD2286"/>
    <w:rsid w:val="00CD242D"/>
    <w:rsid w:val="00CD341D"/>
    <w:rsid w:val="00CD4F62"/>
    <w:rsid w:val="00CD5DDD"/>
    <w:rsid w:val="00CD659F"/>
    <w:rsid w:val="00CD7DEE"/>
    <w:rsid w:val="00CE0918"/>
    <w:rsid w:val="00CE0D0F"/>
    <w:rsid w:val="00CE20DE"/>
    <w:rsid w:val="00CE2358"/>
    <w:rsid w:val="00CE2E5A"/>
    <w:rsid w:val="00CE3C9E"/>
    <w:rsid w:val="00CE53E7"/>
    <w:rsid w:val="00CE6FEF"/>
    <w:rsid w:val="00CF1826"/>
    <w:rsid w:val="00CF1CC7"/>
    <w:rsid w:val="00D002CA"/>
    <w:rsid w:val="00D03785"/>
    <w:rsid w:val="00D03AA9"/>
    <w:rsid w:val="00D03F7A"/>
    <w:rsid w:val="00D0414F"/>
    <w:rsid w:val="00D07038"/>
    <w:rsid w:val="00D0709F"/>
    <w:rsid w:val="00D11EBF"/>
    <w:rsid w:val="00D17570"/>
    <w:rsid w:val="00D17D78"/>
    <w:rsid w:val="00D17D7C"/>
    <w:rsid w:val="00D204F7"/>
    <w:rsid w:val="00D2065C"/>
    <w:rsid w:val="00D24052"/>
    <w:rsid w:val="00D24B48"/>
    <w:rsid w:val="00D25810"/>
    <w:rsid w:val="00D2619F"/>
    <w:rsid w:val="00D35581"/>
    <w:rsid w:val="00D371AE"/>
    <w:rsid w:val="00D41B5C"/>
    <w:rsid w:val="00D43399"/>
    <w:rsid w:val="00D43EA8"/>
    <w:rsid w:val="00D454A9"/>
    <w:rsid w:val="00D46A38"/>
    <w:rsid w:val="00D478B7"/>
    <w:rsid w:val="00D5088C"/>
    <w:rsid w:val="00D5448D"/>
    <w:rsid w:val="00D55DF9"/>
    <w:rsid w:val="00D64142"/>
    <w:rsid w:val="00D65343"/>
    <w:rsid w:val="00D66D78"/>
    <w:rsid w:val="00D67756"/>
    <w:rsid w:val="00D71555"/>
    <w:rsid w:val="00D727DD"/>
    <w:rsid w:val="00D7494E"/>
    <w:rsid w:val="00D75A2E"/>
    <w:rsid w:val="00D775C0"/>
    <w:rsid w:val="00D80F0D"/>
    <w:rsid w:val="00D8112F"/>
    <w:rsid w:val="00D8154C"/>
    <w:rsid w:val="00D81B03"/>
    <w:rsid w:val="00D8474E"/>
    <w:rsid w:val="00D8592F"/>
    <w:rsid w:val="00D85C45"/>
    <w:rsid w:val="00D87051"/>
    <w:rsid w:val="00D874B8"/>
    <w:rsid w:val="00D91810"/>
    <w:rsid w:val="00D93010"/>
    <w:rsid w:val="00D93CFC"/>
    <w:rsid w:val="00D95F4A"/>
    <w:rsid w:val="00D9610D"/>
    <w:rsid w:val="00D961A2"/>
    <w:rsid w:val="00D968CC"/>
    <w:rsid w:val="00DA15CF"/>
    <w:rsid w:val="00DA27A7"/>
    <w:rsid w:val="00DA369D"/>
    <w:rsid w:val="00DA4510"/>
    <w:rsid w:val="00DA458F"/>
    <w:rsid w:val="00DA4FB6"/>
    <w:rsid w:val="00DA6D2F"/>
    <w:rsid w:val="00DB1B10"/>
    <w:rsid w:val="00DB2FBB"/>
    <w:rsid w:val="00DB4AE5"/>
    <w:rsid w:val="00DB4EF7"/>
    <w:rsid w:val="00DB55E9"/>
    <w:rsid w:val="00DB6BB9"/>
    <w:rsid w:val="00DB6E02"/>
    <w:rsid w:val="00DB748B"/>
    <w:rsid w:val="00DC242A"/>
    <w:rsid w:val="00DC3706"/>
    <w:rsid w:val="00DC3725"/>
    <w:rsid w:val="00DC3B51"/>
    <w:rsid w:val="00DC5085"/>
    <w:rsid w:val="00DC566F"/>
    <w:rsid w:val="00DD18CC"/>
    <w:rsid w:val="00DD2182"/>
    <w:rsid w:val="00DD419D"/>
    <w:rsid w:val="00DD50D2"/>
    <w:rsid w:val="00DD5ECF"/>
    <w:rsid w:val="00DD6C08"/>
    <w:rsid w:val="00DD7BD7"/>
    <w:rsid w:val="00DE24D0"/>
    <w:rsid w:val="00DE304C"/>
    <w:rsid w:val="00DE5B94"/>
    <w:rsid w:val="00DE6B8B"/>
    <w:rsid w:val="00DF007E"/>
    <w:rsid w:val="00DF06BA"/>
    <w:rsid w:val="00DF369F"/>
    <w:rsid w:val="00DF4955"/>
    <w:rsid w:val="00DF537C"/>
    <w:rsid w:val="00DF5A01"/>
    <w:rsid w:val="00DF5B21"/>
    <w:rsid w:val="00DF64E9"/>
    <w:rsid w:val="00DF76E5"/>
    <w:rsid w:val="00DF7788"/>
    <w:rsid w:val="00E04438"/>
    <w:rsid w:val="00E076B2"/>
    <w:rsid w:val="00E076F9"/>
    <w:rsid w:val="00E1010E"/>
    <w:rsid w:val="00E109B8"/>
    <w:rsid w:val="00E11987"/>
    <w:rsid w:val="00E12F3A"/>
    <w:rsid w:val="00E13AE7"/>
    <w:rsid w:val="00E1438D"/>
    <w:rsid w:val="00E14BFD"/>
    <w:rsid w:val="00E14C99"/>
    <w:rsid w:val="00E15A53"/>
    <w:rsid w:val="00E15CE1"/>
    <w:rsid w:val="00E16B3A"/>
    <w:rsid w:val="00E223AF"/>
    <w:rsid w:val="00E2427D"/>
    <w:rsid w:val="00E306B6"/>
    <w:rsid w:val="00E31722"/>
    <w:rsid w:val="00E325FC"/>
    <w:rsid w:val="00E33647"/>
    <w:rsid w:val="00E347B4"/>
    <w:rsid w:val="00E34A81"/>
    <w:rsid w:val="00E35A71"/>
    <w:rsid w:val="00E40DC0"/>
    <w:rsid w:val="00E430CE"/>
    <w:rsid w:val="00E443BB"/>
    <w:rsid w:val="00E4504B"/>
    <w:rsid w:val="00E45400"/>
    <w:rsid w:val="00E50243"/>
    <w:rsid w:val="00E53F1B"/>
    <w:rsid w:val="00E56D4A"/>
    <w:rsid w:val="00E57428"/>
    <w:rsid w:val="00E62352"/>
    <w:rsid w:val="00E62A83"/>
    <w:rsid w:val="00E646DB"/>
    <w:rsid w:val="00E65988"/>
    <w:rsid w:val="00E6684F"/>
    <w:rsid w:val="00E66D9F"/>
    <w:rsid w:val="00E71764"/>
    <w:rsid w:val="00E72D97"/>
    <w:rsid w:val="00E73C44"/>
    <w:rsid w:val="00E7650C"/>
    <w:rsid w:val="00E773F2"/>
    <w:rsid w:val="00E8058C"/>
    <w:rsid w:val="00E806CF"/>
    <w:rsid w:val="00E84D9D"/>
    <w:rsid w:val="00E85913"/>
    <w:rsid w:val="00E87605"/>
    <w:rsid w:val="00E87CC4"/>
    <w:rsid w:val="00E919DC"/>
    <w:rsid w:val="00E924A7"/>
    <w:rsid w:val="00E92BDE"/>
    <w:rsid w:val="00E92EB4"/>
    <w:rsid w:val="00E9306E"/>
    <w:rsid w:val="00E93BFD"/>
    <w:rsid w:val="00E94AA7"/>
    <w:rsid w:val="00E95063"/>
    <w:rsid w:val="00E951E2"/>
    <w:rsid w:val="00EA2881"/>
    <w:rsid w:val="00EA5778"/>
    <w:rsid w:val="00EA6B73"/>
    <w:rsid w:val="00EB0B40"/>
    <w:rsid w:val="00EB167C"/>
    <w:rsid w:val="00EB1BAC"/>
    <w:rsid w:val="00EB4DEB"/>
    <w:rsid w:val="00EB63A7"/>
    <w:rsid w:val="00EC0D5D"/>
    <w:rsid w:val="00EC2456"/>
    <w:rsid w:val="00EC3862"/>
    <w:rsid w:val="00EC42A6"/>
    <w:rsid w:val="00ED0A68"/>
    <w:rsid w:val="00ED0FBF"/>
    <w:rsid w:val="00ED285B"/>
    <w:rsid w:val="00ED30E6"/>
    <w:rsid w:val="00ED3828"/>
    <w:rsid w:val="00ED634B"/>
    <w:rsid w:val="00EE2F73"/>
    <w:rsid w:val="00EF1D05"/>
    <w:rsid w:val="00EF237B"/>
    <w:rsid w:val="00EF26D1"/>
    <w:rsid w:val="00EF285D"/>
    <w:rsid w:val="00EF6282"/>
    <w:rsid w:val="00EF6E44"/>
    <w:rsid w:val="00EF7875"/>
    <w:rsid w:val="00F003CC"/>
    <w:rsid w:val="00F00920"/>
    <w:rsid w:val="00F00B71"/>
    <w:rsid w:val="00F024F6"/>
    <w:rsid w:val="00F03D34"/>
    <w:rsid w:val="00F03E2F"/>
    <w:rsid w:val="00F07109"/>
    <w:rsid w:val="00F10903"/>
    <w:rsid w:val="00F11B49"/>
    <w:rsid w:val="00F1239D"/>
    <w:rsid w:val="00F16ECB"/>
    <w:rsid w:val="00F20D2C"/>
    <w:rsid w:val="00F214A3"/>
    <w:rsid w:val="00F22838"/>
    <w:rsid w:val="00F22E4E"/>
    <w:rsid w:val="00F23CC0"/>
    <w:rsid w:val="00F25D8C"/>
    <w:rsid w:val="00F27018"/>
    <w:rsid w:val="00F30331"/>
    <w:rsid w:val="00F32093"/>
    <w:rsid w:val="00F32D16"/>
    <w:rsid w:val="00F33335"/>
    <w:rsid w:val="00F358CA"/>
    <w:rsid w:val="00F40A22"/>
    <w:rsid w:val="00F40AEF"/>
    <w:rsid w:val="00F41A9E"/>
    <w:rsid w:val="00F41EA3"/>
    <w:rsid w:val="00F426B7"/>
    <w:rsid w:val="00F43B09"/>
    <w:rsid w:val="00F45063"/>
    <w:rsid w:val="00F50989"/>
    <w:rsid w:val="00F53FD6"/>
    <w:rsid w:val="00F5511E"/>
    <w:rsid w:val="00F63604"/>
    <w:rsid w:val="00F65CA1"/>
    <w:rsid w:val="00F66336"/>
    <w:rsid w:val="00F6713D"/>
    <w:rsid w:val="00F67E34"/>
    <w:rsid w:val="00F722CA"/>
    <w:rsid w:val="00F73EF9"/>
    <w:rsid w:val="00F74E83"/>
    <w:rsid w:val="00F76FB6"/>
    <w:rsid w:val="00F80F4C"/>
    <w:rsid w:val="00F83E73"/>
    <w:rsid w:val="00F847F4"/>
    <w:rsid w:val="00F84C49"/>
    <w:rsid w:val="00F8564D"/>
    <w:rsid w:val="00F900F7"/>
    <w:rsid w:val="00F90E74"/>
    <w:rsid w:val="00F91D5C"/>
    <w:rsid w:val="00F926F9"/>
    <w:rsid w:val="00F92C7F"/>
    <w:rsid w:val="00F94364"/>
    <w:rsid w:val="00F94BC8"/>
    <w:rsid w:val="00F97855"/>
    <w:rsid w:val="00F97F67"/>
    <w:rsid w:val="00FA303A"/>
    <w:rsid w:val="00FA5D53"/>
    <w:rsid w:val="00FA768E"/>
    <w:rsid w:val="00FB1FE8"/>
    <w:rsid w:val="00FB25EE"/>
    <w:rsid w:val="00FB2B35"/>
    <w:rsid w:val="00FB2C3F"/>
    <w:rsid w:val="00FB361B"/>
    <w:rsid w:val="00FB36D6"/>
    <w:rsid w:val="00FB60F2"/>
    <w:rsid w:val="00FC188B"/>
    <w:rsid w:val="00FC2E17"/>
    <w:rsid w:val="00FC3B2E"/>
    <w:rsid w:val="00FC42AA"/>
    <w:rsid w:val="00FC5AA3"/>
    <w:rsid w:val="00FC6DF6"/>
    <w:rsid w:val="00FD01CD"/>
    <w:rsid w:val="00FD08BD"/>
    <w:rsid w:val="00FD2553"/>
    <w:rsid w:val="00FD2C2B"/>
    <w:rsid w:val="00FD4EFD"/>
    <w:rsid w:val="00FD6251"/>
    <w:rsid w:val="00FD6887"/>
    <w:rsid w:val="00FD6A06"/>
    <w:rsid w:val="00FD7518"/>
    <w:rsid w:val="00FE29B3"/>
    <w:rsid w:val="00FE314C"/>
    <w:rsid w:val="00FE6212"/>
    <w:rsid w:val="00FE63D5"/>
    <w:rsid w:val="00FE68F7"/>
    <w:rsid w:val="00FF0D6B"/>
    <w:rsid w:val="00FF16E4"/>
    <w:rsid w:val="00FF6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A45A1C"/>
  <w15:chartTrackingRefBased/>
  <w15:docId w15:val="{A69370D5-F711-41AF-A251-0ED957A75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C23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FF68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56FE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2A1A29"/>
    <w:rPr>
      <w:i/>
      <w:iCs/>
    </w:rPr>
  </w:style>
  <w:style w:type="character" w:customStyle="1" w:styleId="spelle">
    <w:name w:val="spelle"/>
    <w:basedOn w:val="DefaultParagraphFont"/>
    <w:rsid w:val="002A1A29"/>
  </w:style>
  <w:style w:type="character" w:customStyle="1" w:styleId="grame">
    <w:name w:val="grame"/>
    <w:basedOn w:val="DefaultParagraphFont"/>
    <w:rsid w:val="002A1A29"/>
  </w:style>
  <w:style w:type="character" w:styleId="Hyperlink">
    <w:name w:val="Hyperlink"/>
    <w:uiPriority w:val="99"/>
    <w:rsid w:val="002A1A29"/>
    <w:rPr>
      <w:color w:val="0000FF"/>
      <w:u w:val="single"/>
    </w:rPr>
  </w:style>
  <w:style w:type="character" w:styleId="Strong">
    <w:name w:val="Strong"/>
    <w:qFormat/>
    <w:rsid w:val="002A1A29"/>
    <w:rPr>
      <w:b/>
      <w:bCs/>
    </w:rPr>
  </w:style>
  <w:style w:type="character" w:customStyle="1" w:styleId="maintexte1">
    <w:name w:val="maintexte1"/>
    <w:rsid w:val="002A1A29"/>
    <w:rPr>
      <w:rFonts w:ascii="Arial" w:hAnsi="Arial" w:cs="Arial" w:hint="default"/>
      <w:b w:val="0"/>
      <w:bCs w:val="0"/>
      <w:color w:val="000000"/>
      <w:sz w:val="18"/>
      <w:szCs w:val="18"/>
    </w:rPr>
  </w:style>
  <w:style w:type="paragraph" w:styleId="NormalWeb">
    <w:name w:val="Normal (Web)"/>
    <w:basedOn w:val="Normal"/>
    <w:uiPriority w:val="99"/>
    <w:rsid w:val="002A1A29"/>
    <w:pPr>
      <w:spacing w:before="100" w:beforeAutospacing="1" w:after="100" w:afterAutospacing="1"/>
    </w:pPr>
    <w:rPr>
      <w:rFonts w:ascii="Arial Unicode MS" w:eastAsia="Arial Unicode MS" w:hAnsi="Arial Unicode MS" w:cs="Arial Unicode MS"/>
      <w:lang w:val="en-GB"/>
    </w:rPr>
  </w:style>
  <w:style w:type="paragraph" w:styleId="HTMLPreformatted">
    <w:name w:val="HTML Preformatted"/>
    <w:basedOn w:val="Normal"/>
    <w:rsid w:val="00FF68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EndnoteText">
    <w:name w:val="endnote text"/>
    <w:basedOn w:val="Normal"/>
    <w:link w:val="EndnoteTextChar"/>
    <w:uiPriority w:val="99"/>
    <w:rsid w:val="00FF6803"/>
    <w:pPr>
      <w:spacing w:before="100" w:beforeAutospacing="1" w:after="100" w:afterAutospacing="1"/>
    </w:pPr>
  </w:style>
  <w:style w:type="character" w:customStyle="1" w:styleId="footnoteref">
    <w:name w:val="footnoteref"/>
    <w:basedOn w:val="DefaultParagraphFont"/>
    <w:rsid w:val="00FF6803"/>
  </w:style>
  <w:style w:type="paragraph" w:customStyle="1" w:styleId="linkdisclaimer">
    <w:name w:val="linkdisclaimer"/>
    <w:basedOn w:val="Normal"/>
    <w:rsid w:val="00FF6803"/>
    <w:pPr>
      <w:spacing w:before="100" w:beforeAutospacing="1" w:after="100" w:afterAutospacing="1"/>
    </w:pPr>
  </w:style>
  <w:style w:type="character" w:customStyle="1" w:styleId="warning">
    <w:name w:val="warning"/>
    <w:basedOn w:val="DefaultParagraphFont"/>
    <w:rsid w:val="00FF6803"/>
  </w:style>
  <w:style w:type="character" w:styleId="EndnoteReference">
    <w:name w:val="endnote reference"/>
    <w:uiPriority w:val="99"/>
    <w:semiHidden/>
    <w:rsid w:val="00FF6803"/>
    <w:rPr>
      <w:vertAlign w:val="superscript"/>
    </w:rPr>
  </w:style>
  <w:style w:type="character" w:styleId="FollowedHyperlink">
    <w:name w:val="FollowedHyperlink"/>
    <w:rsid w:val="00FF6803"/>
    <w:rPr>
      <w:color w:val="800080"/>
      <w:u w:val="single"/>
    </w:rPr>
  </w:style>
  <w:style w:type="character" w:customStyle="1" w:styleId="lgbctext">
    <w:name w:val="lgbctext"/>
    <w:basedOn w:val="DefaultParagraphFont"/>
    <w:rsid w:val="00DA4FB6"/>
  </w:style>
  <w:style w:type="paragraph" w:styleId="ListParagraph">
    <w:name w:val="List Paragraph"/>
    <w:basedOn w:val="Normal"/>
    <w:uiPriority w:val="34"/>
    <w:qFormat/>
    <w:rsid w:val="001F3094"/>
    <w:pPr>
      <w:ind w:left="720"/>
    </w:pPr>
  </w:style>
  <w:style w:type="character" w:customStyle="1" w:styleId="EndnoteTextChar">
    <w:name w:val="Endnote Text Char"/>
    <w:link w:val="EndnoteText"/>
    <w:uiPriority w:val="99"/>
    <w:rsid w:val="00C462BC"/>
    <w:rPr>
      <w:sz w:val="24"/>
      <w:szCs w:val="24"/>
    </w:rPr>
  </w:style>
  <w:style w:type="paragraph" w:styleId="BalloonText">
    <w:name w:val="Balloon Text"/>
    <w:basedOn w:val="Normal"/>
    <w:link w:val="BalloonTextChar"/>
    <w:rsid w:val="009319FE"/>
    <w:rPr>
      <w:rFonts w:ascii="Segoe UI" w:hAnsi="Segoe UI" w:cs="Segoe UI"/>
      <w:sz w:val="18"/>
      <w:szCs w:val="18"/>
    </w:rPr>
  </w:style>
  <w:style w:type="character" w:customStyle="1" w:styleId="BalloonTextChar">
    <w:name w:val="Balloon Text Char"/>
    <w:link w:val="BalloonText"/>
    <w:rsid w:val="009319FE"/>
    <w:rPr>
      <w:rFonts w:ascii="Segoe UI" w:hAnsi="Segoe UI" w:cs="Segoe UI"/>
      <w:sz w:val="18"/>
      <w:szCs w:val="18"/>
    </w:rPr>
  </w:style>
  <w:style w:type="paragraph" w:styleId="FootnoteText">
    <w:name w:val="footnote text"/>
    <w:basedOn w:val="Normal"/>
    <w:link w:val="FootnoteTextChar"/>
    <w:rsid w:val="00AC3D35"/>
    <w:rPr>
      <w:sz w:val="20"/>
      <w:szCs w:val="20"/>
    </w:rPr>
  </w:style>
  <w:style w:type="character" w:customStyle="1" w:styleId="FootnoteTextChar">
    <w:name w:val="Footnote Text Char"/>
    <w:basedOn w:val="DefaultParagraphFont"/>
    <w:link w:val="FootnoteText"/>
    <w:rsid w:val="00AC3D35"/>
  </w:style>
  <w:style w:type="character" w:styleId="FootnoteReference">
    <w:name w:val="footnote reference"/>
    <w:rsid w:val="00AC3D35"/>
    <w:rPr>
      <w:vertAlign w:val="superscript"/>
    </w:rPr>
  </w:style>
  <w:style w:type="character" w:styleId="UnresolvedMention">
    <w:name w:val="Unresolved Mention"/>
    <w:uiPriority w:val="99"/>
    <w:semiHidden/>
    <w:unhideWhenUsed/>
    <w:rsid w:val="00C12F5C"/>
    <w:rPr>
      <w:color w:val="605E5C"/>
      <w:shd w:val="clear" w:color="auto" w:fill="E1DFDD"/>
    </w:rPr>
  </w:style>
  <w:style w:type="character" w:customStyle="1" w:styleId="element-citation">
    <w:name w:val="element-citation"/>
    <w:rsid w:val="00C12F5C"/>
  </w:style>
  <w:style w:type="character" w:customStyle="1" w:styleId="ref-journal">
    <w:name w:val="ref-journal"/>
    <w:rsid w:val="00C12F5C"/>
  </w:style>
  <w:style w:type="character" w:customStyle="1" w:styleId="ref-vol">
    <w:name w:val="ref-vol"/>
    <w:rsid w:val="00C12F5C"/>
  </w:style>
  <w:style w:type="character" w:customStyle="1" w:styleId="nowrap">
    <w:name w:val="nowrap"/>
    <w:rsid w:val="00C12F5C"/>
  </w:style>
  <w:style w:type="character" w:customStyle="1" w:styleId="Heading1Char">
    <w:name w:val="Heading 1 Char"/>
    <w:basedOn w:val="DefaultParagraphFont"/>
    <w:link w:val="Heading1"/>
    <w:rsid w:val="009C23DF"/>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C23DF"/>
    <w:pPr>
      <w:widowControl w:val="0"/>
      <w:autoSpaceDE w:val="0"/>
      <w:autoSpaceDN w:val="0"/>
    </w:pPr>
    <w:rPr>
      <w:sz w:val="18"/>
      <w:szCs w:val="18"/>
    </w:rPr>
  </w:style>
  <w:style w:type="character" w:customStyle="1" w:styleId="BodyTextChar">
    <w:name w:val="Body Text Char"/>
    <w:basedOn w:val="DefaultParagraphFont"/>
    <w:link w:val="BodyText"/>
    <w:uiPriority w:val="1"/>
    <w:rsid w:val="009C23DF"/>
    <w:rPr>
      <w:sz w:val="18"/>
      <w:szCs w:val="18"/>
    </w:rPr>
  </w:style>
  <w:style w:type="paragraph" w:styleId="Header">
    <w:name w:val="header"/>
    <w:basedOn w:val="Normal"/>
    <w:link w:val="HeaderChar"/>
    <w:uiPriority w:val="99"/>
    <w:rsid w:val="00971E7E"/>
    <w:pPr>
      <w:tabs>
        <w:tab w:val="center" w:pos="4680"/>
        <w:tab w:val="right" w:pos="9360"/>
      </w:tabs>
    </w:pPr>
  </w:style>
  <w:style w:type="character" w:customStyle="1" w:styleId="HeaderChar">
    <w:name w:val="Header Char"/>
    <w:basedOn w:val="DefaultParagraphFont"/>
    <w:link w:val="Header"/>
    <w:uiPriority w:val="99"/>
    <w:rsid w:val="00971E7E"/>
    <w:rPr>
      <w:sz w:val="24"/>
      <w:szCs w:val="24"/>
    </w:rPr>
  </w:style>
  <w:style w:type="paragraph" w:styleId="Footer">
    <w:name w:val="footer"/>
    <w:basedOn w:val="Normal"/>
    <w:link w:val="FooterChar"/>
    <w:rsid w:val="00971E7E"/>
    <w:pPr>
      <w:tabs>
        <w:tab w:val="center" w:pos="4680"/>
        <w:tab w:val="right" w:pos="9360"/>
      </w:tabs>
    </w:pPr>
  </w:style>
  <w:style w:type="character" w:customStyle="1" w:styleId="FooterChar">
    <w:name w:val="Footer Char"/>
    <w:basedOn w:val="DefaultParagraphFont"/>
    <w:link w:val="Footer"/>
    <w:rsid w:val="00971E7E"/>
    <w:rPr>
      <w:sz w:val="24"/>
      <w:szCs w:val="24"/>
    </w:rPr>
  </w:style>
  <w:style w:type="paragraph" w:styleId="Revision">
    <w:name w:val="Revision"/>
    <w:hidden/>
    <w:uiPriority w:val="99"/>
    <w:semiHidden/>
    <w:rsid w:val="00D847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55382">
      <w:bodyDiv w:val="1"/>
      <w:marLeft w:val="0"/>
      <w:marRight w:val="0"/>
      <w:marTop w:val="0"/>
      <w:marBottom w:val="0"/>
      <w:divBdr>
        <w:top w:val="none" w:sz="0" w:space="0" w:color="auto"/>
        <w:left w:val="none" w:sz="0" w:space="0" w:color="auto"/>
        <w:bottom w:val="none" w:sz="0" w:space="0" w:color="auto"/>
        <w:right w:val="none" w:sz="0" w:space="0" w:color="auto"/>
      </w:divBdr>
      <w:divsChild>
        <w:div w:id="1508785590">
          <w:marLeft w:val="0"/>
          <w:marRight w:val="0"/>
          <w:marTop w:val="166"/>
          <w:marBottom w:val="166"/>
          <w:divBdr>
            <w:top w:val="none" w:sz="0" w:space="0" w:color="auto"/>
            <w:left w:val="none" w:sz="0" w:space="0" w:color="auto"/>
            <w:bottom w:val="none" w:sz="0" w:space="0" w:color="auto"/>
            <w:right w:val="none" w:sz="0" w:space="0" w:color="auto"/>
          </w:divBdr>
        </w:div>
        <w:div w:id="1947930330">
          <w:marLeft w:val="0"/>
          <w:marRight w:val="0"/>
          <w:marTop w:val="166"/>
          <w:marBottom w:val="166"/>
          <w:divBdr>
            <w:top w:val="none" w:sz="0" w:space="0" w:color="auto"/>
            <w:left w:val="none" w:sz="0" w:space="0" w:color="auto"/>
            <w:bottom w:val="none" w:sz="0" w:space="0" w:color="auto"/>
            <w:right w:val="none" w:sz="0" w:space="0" w:color="auto"/>
          </w:divBdr>
        </w:div>
        <w:div w:id="2024891082">
          <w:marLeft w:val="0"/>
          <w:marRight w:val="0"/>
          <w:marTop w:val="166"/>
          <w:marBottom w:val="166"/>
          <w:divBdr>
            <w:top w:val="none" w:sz="0" w:space="0" w:color="auto"/>
            <w:left w:val="none" w:sz="0" w:space="0" w:color="auto"/>
            <w:bottom w:val="none" w:sz="0" w:space="0" w:color="auto"/>
            <w:right w:val="none" w:sz="0" w:space="0" w:color="auto"/>
          </w:divBdr>
        </w:div>
      </w:divsChild>
    </w:div>
    <w:div w:id="73867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image002.png@01D618CE.858FC61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pediatrics.aappublications.org/content/145/2/e20191725/tab-e-letters" TargetMode="External"/><Relationship Id="rId13" Type="http://schemas.openxmlformats.org/officeDocument/2006/relationships/hyperlink" Target="https://www.jsm.jsexmed.org/article/S1743-6095(19)31424-9/fulltext" TargetMode="External"/><Relationship Id="rId18" Type="http://schemas.openxmlformats.org/officeDocument/2006/relationships/hyperlink" Target="https://www.rcgp.org.uk/-/media/Files/Policy/A-Z-policy/2019/RCGP-position-statement-providing-care-for-gender-transgender-patients-june-2019.ashx?la=en" TargetMode="External"/><Relationship Id="rId3" Type="http://schemas.openxmlformats.org/officeDocument/2006/relationships/hyperlink" Target="https://www.theguardian.com/society/2004/jul/31/health.socialcare" TargetMode="External"/><Relationship Id="rId7" Type="http://schemas.openxmlformats.org/officeDocument/2006/relationships/hyperlink" Target="https://pediatrics.aappublications.org/content/145/2/e20191725/tab-e-letters" TargetMode="External"/><Relationship Id="rId12" Type="http://schemas.openxmlformats.org/officeDocument/2006/relationships/hyperlink" Target="https://pubmed.ncbi.nlm.nih.gov/26556015/" TargetMode="External"/><Relationship Id="rId17" Type="http://schemas.openxmlformats.org/officeDocument/2006/relationships/hyperlink" Target="https://www.fertstert.org/article/S0015-0282(08)03838-7/pdf" TargetMode="External"/><Relationship Id="rId2" Type="http://schemas.openxmlformats.org/officeDocument/2006/relationships/hyperlink" Target="https://americanhealthcareleader.com/2016/wini-hayes/" TargetMode="External"/><Relationship Id="rId16" Type="http://schemas.openxmlformats.org/officeDocument/2006/relationships/hyperlink" Target="https://journals.sagepub.com/doi/10.1177/0024363919884799" TargetMode="External"/><Relationship Id="rId1" Type="http://schemas.openxmlformats.org/officeDocument/2006/relationships/hyperlink" Target="https://www.supremecourt.gov/DocketPDF/18/18-107/113262/20190822151939369_TO%20PRINT%2019-8-22%20Dr.%20Paul%20McHugh%20Amicus%20Brief%20FINAL.pdf" TargetMode="External"/><Relationship Id="rId6" Type="http://schemas.openxmlformats.org/officeDocument/2006/relationships/hyperlink" Target="https://ajp.psychiatryonline.org/doi/pdf/10.1176/appi.ajp.2020.1778correction" TargetMode="External"/><Relationship Id="rId11" Type="http://schemas.openxmlformats.org/officeDocument/2006/relationships/hyperlink" Target="https://pediatrics.aappublications.org/content/145/4/e20193006" TargetMode="External"/><Relationship Id="rId5" Type="http://schemas.openxmlformats.org/officeDocument/2006/relationships/hyperlink" Target="https://www.thepublicdiscourse.com/2019/11/58371/" TargetMode="External"/><Relationship Id="rId15" Type="http://schemas.openxmlformats.org/officeDocument/2006/relationships/hyperlink" Target="https://www.ncbi.nlm.nih.gov/pmc/articles/PMC5302003/" TargetMode="External"/><Relationship Id="rId10" Type="http://schemas.openxmlformats.org/officeDocument/2006/relationships/hyperlink" Target="https://www.city-journal.org/hormone-treatments-gender-dysphoric-children" TargetMode="External"/><Relationship Id="rId4" Type="http://schemas.openxmlformats.org/officeDocument/2006/relationships/hyperlink" Target="https://ajp.psychiatryonline.org/doi/10.1176/appi.ajp.2019.19010080" TargetMode="External"/><Relationship Id="rId9" Type="http://schemas.openxmlformats.org/officeDocument/2006/relationships/hyperlink" Target="https://link.springer.com/article/10.1007/s10508-020-01743-6" TargetMode="External"/><Relationship Id="rId14" Type="http://schemas.openxmlformats.org/officeDocument/2006/relationships/hyperlink" Target="https://pediatrics.aappublications.org/content/137/3/e201532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53AC1-5F13-46BF-A96D-101768EC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1532</TotalTime>
  <Pages>11</Pages>
  <Words>2968</Words>
  <Characters>16923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19852</CharactersWithSpaces>
  <SharedDoc>false</SharedDoc>
  <HLinks>
    <vt:vector size="78" baseType="variant">
      <vt:variant>
        <vt:i4>65624</vt:i4>
      </vt:variant>
      <vt:variant>
        <vt:i4>24</vt:i4>
      </vt:variant>
      <vt:variant>
        <vt:i4>0</vt:i4>
      </vt:variant>
      <vt:variant>
        <vt:i4>5</vt:i4>
      </vt:variant>
      <vt:variant>
        <vt:lpwstr>https://www.genderhq.org/trans-youth-identity-politics-rights-conflicts-lgbt-part4/</vt:lpwstr>
      </vt:variant>
      <vt:variant>
        <vt:lpwstr>anchor-page12-section-c</vt:lpwstr>
      </vt:variant>
      <vt:variant>
        <vt:i4>4587612</vt:i4>
      </vt:variant>
      <vt:variant>
        <vt:i4>21</vt:i4>
      </vt:variant>
      <vt:variant>
        <vt:i4>0</vt:i4>
      </vt:variant>
      <vt:variant>
        <vt:i4>5</vt:i4>
      </vt:variant>
      <vt:variant>
        <vt:lpwstr>https://www.genderhq.org/trans-youth-side-effects-hormone-blockers-surgery/</vt:lpwstr>
      </vt:variant>
      <vt:variant>
        <vt:lpwstr>anchor-page2-section-e</vt:lpwstr>
      </vt:variant>
      <vt:variant>
        <vt:i4>4325468</vt:i4>
      </vt:variant>
      <vt:variant>
        <vt:i4>18</vt:i4>
      </vt:variant>
      <vt:variant>
        <vt:i4>0</vt:i4>
      </vt:variant>
      <vt:variant>
        <vt:i4>5</vt:i4>
      </vt:variant>
      <vt:variant>
        <vt:lpwstr>https://www.genderhq.org/trans-youth-side-effects-hormone-blockers-surgery/</vt:lpwstr>
      </vt:variant>
      <vt:variant>
        <vt:lpwstr>anchor-page2-section-a</vt:lpwstr>
      </vt:variant>
      <vt:variant>
        <vt:i4>852056</vt:i4>
      </vt:variant>
      <vt:variant>
        <vt:i4>15</vt:i4>
      </vt:variant>
      <vt:variant>
        <vt:i4>0</vt:i4>
      </vt:variant>
      <vt:variant>
        <vt:i4>5</vt:i4>
      </vt:variant>
      <vt:variant>
        <vt:lpwstr>https://www.ncbi.nlm.nih.gov/pubmed/29507933</vt:lpwstr>
      </vt:variant>
      <vt:variant>
        <vt:lpwstr/>
      </vt:variant>
      <vt:variant>
        <vt:i4>6881393</vt:i4>
      </vt:variant>
      <vt:variant>
        <vt:i4>12</vt:i4>
      </vt:variant>
      <vt:variant>
        <vt:i4>0</vt:i4>
      </vt:variant>
      <vt:variant>
        <vt:i4>5</vt:i4>
      </vt:variant>
      <vt:variant>
        <vt:lpwstr>https://www.thetimes.co.uk/article/puberty-blocker-drug-firm-donated-cash-to-lib-dems-cf3x77nh3</vt:lpwstr>
      </vt:variant>
      <vt:variant>
        <vt:lpwstr/>
      </vt:variant>
      <vt:variant>
        <vt:i4>720989</vt:i4>
      </vt:variant>
      <vt:variant>
        <vt:i4>9</vt:i4>
      </vt:variant>
      <vt:variant>
        <vt:i4>0</vt:i4>
      </vt:variant>
      <vt:variant>
        <vt:i4>5</vt:i4>
      </vt:variant>
      <vt:variant>
        <vt:lpwstr>https://www.ncbi.nlm.nih.gov/pubmed/26559385/</vt:lpwstr>
      </vt:variant>
      <vt:variant>
        <vt:lpwstr/>
      </vt:variant>
      <vt:variant>
        <vt:i4>458842</vt:i4>
      </vt:variant>
      <vt:variant>
        <vt:i4>6</vt:i4>
      </vt:variant>
      <vt:variant>
        <vt:i4>0</vt:i4>
      </vt:variant>
      <vt:variant>
        <vt:i4>5</vt:i4>
      </vt:variant>
      <vt:variant>
        <vt:lpwstr>https://www.ncbi.nlm.nih.gov/pubmed/30092303/</vt:lpwstr>
      </vt:variant>
      <vt:variant>
        <vt:lpwstr/>
      </vt:variant>
      <vt:variant>
        <vt:i4>196692</vt:i4>
      </vt:variant>
      <vt:variant>
        <vt:i4>3</vt:i4>
      </vt:variant>
      <vt:variant>
        <vt:i4>0</vt:i4>
      </vt:variant>
      <vt:variant>
        <vt:i4>5</vt:i4>
      </vt:variant>
      <vt:variant>
        <vt:lpwstr>https://www.ncbi.nlm.nih.gov/pubmed/28914501/</vt:lpwstr>
      </vt:variant>
      <vt:variant>
        <vt:lpwstr/>
      </vt:variant>
      <vt:variant>
        <vt:i4>3932283</vt:i4>
      </vt:variant>
      <vt:variant>
        <vt:i4>0</vt:i4>
      </vt:variant>
      <vt:variant>
        <vt:i4>0</vt:i4>
      </vt:variant>
      <vt:variant>
        <vt:i4>5</vt:i4>
      </vt:variant>
      <vt:variant>
        <vt:lpwstr>https://www.nbcnews.com/feature/nbc-out/transgender-men-eager-have-biological-kids-are-freezing-their-eggs-n975331</vt:lpwstr>
      </vt:variant>
      <vt:variant>
        <vt:lpwstr/>
      </vt:variant>
      <vt:variant>
        <vt:i4>6291501</vt:i4>
      </vt:variant>
      <vt:variant>
        <vt:i4>9</vt:i4>
      </vt:variant>
      <vt:variant>
        <vt:i4>0</vt:i4>
      </vt:variant>
      <vt:variant>
        <vt:i4>5</vt:i4>
      </vt:variant>
      <vt:variant>
        <vt:lpwstr>https://endocrinenews.endocrine.org/blocking-puberty-in-transgender-youth/</vt:lpwstr>
      </vt:variant>
      <vt:variant>
        <vt:lpwstr/>
      </vt:variant>
      <vt:variant>
        <vt:i4>7798824</vt:i4>
      </vt:variant>
      <vt:variant>
        <vt:i4>6</vt:i4>
      </vt:variant>
      <vt:variant>
        <vt:i4>0</vt:i4>
      </vt:variant>
      <vt:variant>
        <vt:i4>5</vt:i4>
      </vt:variant>
      <vt:variant>
        <vt:lpwstr>https://www.bostonmagazine.com/news/2014/02/25/chemical-castration/</vt:lpwstr>
      </vt:variant>
      <vt:variant>
        <vt:lpwstr/>
      </vt:variant>
      <vt:variant>
        <vt:i4>3211328</vt:i4>
      </vt:variant>
      <vt:variant>
        <vt:i4>3</vt:i4>
      </vt:variant>
      <vt:variant>
        <vt:i4>0</vt:i4>
      </vt:variant>
      <vt:variant>
        <vt:i4>5</vt:i4>
      </vt:variant>
      <vt:variant>
        <vt:lpwstr>https://en.wikipedia.org/wiki/Thomas_Beatie</vt:lpwstr>
      </vt:variant>
      <vt:variant>
        <vt:lpwstr/>
      </vt:variant>
      <vt:variant>
        <vt:i4>3538987</vt:i4>
      </vt:variant>
      <vt:variant>
        <vt:i4>0</vt:i4>
      </vt:variant>
      <vt:variant>
        <vt:i4>0</vt:i4>
      </vt:variant>
      <vt:variant>
        <vt:i4>5</vt:i4>
      </vt:variant>
      <vt:variant>
        <vt:lpwstr>https://www.foxnews.com/media/aclu-men-pregnant-periods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dc:creator>
  <cp:keywords/>
  <cp:lastModifiedBy>William Duncan</cp:lastModifiedBy>
  <cp:revision>580</cp:revision>
  <cp:lastPrinted>2007-10-14T02:49:00Z</cp:lastPrinted>
  <dcterms:created xsi:type="dcterms:W3CDTF">2020-04-28T13:30:00Z</dcterms:created>
  <dcterms:modified xsi:type="dcterms:W3CDTF">2020-11-19T18:06:00Z</dcterms:modified>
</cp:coreProperties>
</file>